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0F0"/>
  <w:body>
    <w:p w:rsidR="00522EF1" w:rsidRDefault="00522EF1" w:rsidP="0091186E">
      <w:pPr>
        <w:pStyle w:val="AralkYok"/>
        <w:rPr>
          <w:sz w:val="24"/>
          <w:szCs w:val="24"/>
        </w:rPr>
      </w:pPr>
    </w:p>
    <w:p w:rsidR="00522EF1" w:rsidRDefault="00522EF1" w:rsidP="0091186E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TÜRKİYE MAARİF MODELİ HAYAT BİLGİSİ ÖĞRETİM PROGRAMI RAPORU </w:t>
      </w:r>
    </w:p>
    <w:p w:rsidR="00522EF1" w:rsidRDefault="00522EF1" w:rsidP="0091186E">
      <w:pPr>
        <w:pStyle w:val="AralkYok"/>
        <w:rPr>
          <w:sz w:val="24"/>
          <w:szCs w:val="24"/>
        </w:rPr>
      </w:pPr>
    </w:p>
    <w:p w:rsidR="0091186E" w:rsidRDefault="0091186E" w:rsidP="0091186E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1-    H</w:t>
      </w:r>
      <w:r w:rsidRPr="0091186E">
        <w:rPr>
          <w:sz w:val="24"/>
          <w:szCs w:val="24"/>
        </w:rPr>
        <w:t>ayat Bilgisi Dersi Öğretim Programı, Türkiye Yüzyılı Maarif Modeli Ortak Metni temel alınarak yapılandırılmıştır.</w:t>
      </w:r>
    </w:p>
    <w:p w:rsidR="0091186E" w:rsidRDefault="0091186E" w:rsidP="0091186E">
      <w:pPr>
        <w:pStyle w:val="AralkYok"/>
        <w:rPr>
          <w:sz w:val="24"/>
          <w:szCs w:val="24"/>
        </w:rPr>
      </w:pPr>
    </w:p>
    <w:p w:rsidR="00C94F45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2-Hayat Bilgisi Dersi Öğretim Programı beceri temelli program anlayışıyla hazırlanmıştı</w:t>
      </w:r>
      <w:r w:rsidR="0091186E">
        <w:rPr>
          <w:sz w:val="24"/>
          <w:szCs w:val="24"/>
        </w:rPr>
        <w:t xml:space="preserve">r. Program hazırlanırken sosyal </w:t>
      </w:r>
      <w:r w:rsidRPr="0091186E">
        <w:rPr>
          <w:sz w:val="24"/>
          <w:szCs w:val="24"/>
        </w:rPr>
        <w:t>bilimler alan becerileri, kavramsal beceriler, sosyal-duygusal öğrenme becerileri</w:t>
      </w:r>
      <w:r w:rsidR="0091186E">
        <w:rPr>
          <w:sz w:val="24"/>
          <w:szCs w:val="24"/>
        </w:rPr>
        <w:t xml:space="preserve"> ve okuryazarlık becerilerinden </w:t>
      </w:r>
      <w:r w:rsidRPr="0091186E">
        <w:rPr>
          <w:sz w:val="24"/>
          <w:szCs w:val="24"/>
        </w:rPr>
        <w:t>faydalanılmıştır.</w:t>
      </w:r>
    </w:p>
    <w:p w:rsidR="0091186E" w:rsidRPr="0091186E" w:rsidRDefault="0091186E" w:rsidP="0091186E">
      <w:pPr>
        <w:pStyle w:val="AralkYok"/>
        <w:rPr>
          <w:sz w:val="24"/>
          <w:szCs w:val="24"/>
        </w:rPr>
      </w:pPr>
    </w:p>
    <w:p w:rsidR="00C94F45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3-Hayat Bilgisi Dersi Öğr</w:t>
      </w:r>
      <w:r w:rsidR="0091186E">
        <w:rPr>
          <w:sz w:val="24"/>
          <w:szCs w:val="24"/>
        </w:rPr>
        <w:t xml:space="preserve">etim Programı ile kendini </w:t>
      </w:r>
      <w:r w:rsidRPr="0091186E">
        <w:rPr>
          <w:sz w:val="24"/>
          <w:szCs w:val="24"/>
        </w:rPr>
        <w:t xml:space="preserve">ve çevresini tanıyan, sağlıklı ve güvenli bir yaşam süren, ailenin önemini ve toplumun </w:t>
      </w:r>
      <w:r w:rsidR="0091186E">
        <w:rPr>
          <w:sz w:val="24"/>
          <w:szCs w:val="24"/>
        </w:rPr>
        <w:t xml:space="preserve">değerlerini özümseyen, yaşadığı </w:t>
      </w:r>
      <w:r w:rsidRPr="0091186E">
        <w:rPr>
          <w:sz w:val="24"/>
          <w:szCs w:val="24"/>
        </w:rPr>
        <w:t>yeri ve ülkesini seven, çevresine ve doğaya karşı duyarlı, bilim ve sanatı önemseyen, araştırmacı, üretken, mil</w:t>
      </w:r>
      <w:r w:rsidR="0091186E">
        <w:rPr>
          <w:sz w:val="24"/>
          <w:szCs w:val="24"/>
        </w:rPr>
        <w:t xml:space="preserve">lî bilince </w:t>
      </w:r>
      <w:r w:rsidRPr="0091186E">
        <w:rPr>
          <w:sz w:val="24"/>
          <w:szCs w:val="24"/>
        </w:rPr>
        <w:t>ve manevi değerlere sahip bireylerin yetiştirilmesi amaçlanmıştır. Bu çerçevede ilgili öğre</w:t>
      </w:r>
      <w:r w:rsidR="0091186E">
        <w:rPr>
          <w:sz w:val="24"/>
          <w:szCs w:val="24"/>
        </w:rPr>
        <w:t xml:space="preserve">nme çıktılarına ulaşılması için </w:t>
      </w:r>
      <w:r w:rsidRPr="0091186E">
        <w:rPr>
          <w:sz w:val="24"/>
          <w:szCs w:val="24"/>
        </w:rPr>
        <w:t>gerekli beceri, değer, eğilim ve ölçme değerlendirme süreçlerinin nasıl ilişkilendirileceği ve uygulanabileceği öğrenme</w:t>
      </w:r>
      <w:r w:rsidR="0091186E">
        <w:rPr>
          <w:sz w:val="24"/>
          <w:szCs w:val="24"/>
        </w:rPr>
        <w:t xml:space="preserve"> </w:t>
      </w:r>
      <w:r w:rsidRPr="0091186E">
        <w:rPr>
          <w:sz w:val="24"/>
          <w:szCs w:val="24"/>
        </w:rPr>
        <w:t>öğr</w:t>
      </w:r>
      <w:r w:rsidR="0091186E">
        <w:rPr>
          <w:sz w:val="24"/>
          <w:szCs w:val="24"/>
        </w:rPr>
        <w:t xml:space="preserve">etme </w:t>
      </w:r>
      <w:r w:rsidRPr="0091186E">
        <w:rPr>
          <w:sz w:val="24"/>
          <w:szCs w:val="24"/>
        </w:rPr>
        <w:t>yaşantıları ile somutlaştırılmıştır.</w:t>
      </w:r>
    </w:p>
    <w:p w:rsidR="0091186E" w:rsidRDefault="0091186E" w:rsidP="0091186E">
      <w:pPr>
        <w:pStyle w:val="AralkYok"/>
        <w:rPr>
          <w:sz w:val="24"/>
          <w:szCs w:val="24"/>
        </w:rPr>
      </w:pPr>
    </w:p>
    <w:p w:rsidR="0091186E" w:rsidRPr="0091186E" w:rsidRDefault="0091186E" w:rsidP="0091186E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4-   </w:t>
      </w:r>
      <w:r w:rsidRPr="0091186E">
        <w:rPr>
          <w:sz w:val="24"/>
          <w:szCs w:val="24"/>
        </w:rPr>
        <w:t>Programın içeriği; Türkçe, sosyal bilgiler, fen bilimleri, matematik, trafik güvenliği, din kültürü ve ahlak bilgisi, insan hakları, vatandaşlık ve demokrasi, görsel sanatlar, müzik,</w:t>
      </w:r>
    </w:p>
    <w:p w:rsidR="0091186E" w:rsidRPr="0091186E" w:rsidRDefault="0091186E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beden eğitimi ve oyun gibi disiplinlerden yararlanılarak oluşturulmuştur. Bu bağlamda hayat bilgisi dersinde farklı alanların bir arada bütüncül bir şekilde verildiği görülmektedir.</w:t>
      </w:r>
    </w:p>
    <w:p w:rsidR="0091186E" w:rsidRPr="0091186E" w:rsidRDefault="0091186E" w:rsidP="0091186E">
      <w:pPr>
        <w:pStyle w:val="AralkYok"/>
        <w:rPr>
          <w:sz w:val="24"/>
          <w:szCs w:val="24"/>
        </w:rPr>
      </w:pPr>
    </w:p>
    <w:p w:rsidR="00C94F45" w:rsidRPr="0091186E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5-</w:t>
      </w:r>
      <w:r w:rsidR="0091186E">
        <w:rPr>
          <w:sz w:val="24"/>
          <w:szCs w:val="24"/>
        </w:rPr>
        <w:t xml:space="preserve"> </w:t>
      </w:r>
      <w:r w:rsidRPr="0091186E">
        <w:rPr>
          <w:sz w:val="24"/>
          <w:szCs w:val="24"/>
        </w:rPr>
        <w:t>Eğitim ve öğretim süreçlerinde Türkçe</w:t>
      </w:r>
      <w:r w:rsidR="0091186E">
        <w:rPr>
          <w:sz w:val="24"/>
          <w:szCs w:val="24"/>
        </w:rPr>
        <w:t>’</w:t>
      </w:r>
      <w:r w:rsidRPr="0091186E">
        <w:rPr>
          <w:sz w:val="24"/>
          <w:szCs w:val="24"/>
        </w:rPr>
        <w:t xml:space="preserve">mizin doğru ve etkili kullanımına, öğrencilerin söz varlığının ve dil becerilerinin geliştirilmesine </w:t>
      </w:r>
      <w:r w:rsidR="0091186E">
        <w:rPr>
          <w:sz w:val="24"/>
          <w:szCs w:val="24"/>
        </w:rPr>
        <w:t xml:space="preserve"> de </w:t>
      </w:r>
      <w:r w:rsidR="0091186E" w:rsidRPr="0091186E">
        <w:rPr>
          <w:sz w:val="24"/>
          <w:szCs w:val="24"/>
        </w:rPr>
        <w:t>vurgu yapılmaktadır.</w:t>
      </w:r>
    </w:p>
    <w:p w:rsidR="00C94F45" w:rsidRPr="0091186E" w:rsidRDefault="00C94F45" w:rsidP="0091186E">
      <w:pPr>
        <w:pStyle w:val="AralkYok"/>
        <w:rPr>
          <w:sz w:val="24"/>
          <w:szCs w:val="24"/>
        </w:rPr>
      </w:pPr>
    </w:p>
    <w:p w:rsidR="00C94F45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6-Programda yer alan öğrenme-öğretme yaşantıları; öğrencilere bütüncül bir bakış açıs</w:t>
      </w:r>
      <w:r w:rsidR="0091186E">
        <w:rPr>
          <w:sz w:val="24"/>
          <w:szCs w:val="24"/>
        </w:rPr>
        <w:t xml:space="preserve">ı kazandıran, kalıcı öğrenmenin </w:t>
      </w:r>
      <w:r w:rsidRPr="0091186E">
        <w:rPr>
          <w:sz w:val="24"/>
          <w:szCs w:val="24"/>
        </w:rPr>
        <w:t>gerçekleşmesine hizmet eden, farklı öğretim yöntem ve tekniklerine yer veren, disip</w:t>
      </w:r>
      <w:r w:rsidR="0091186E">
        <w:rPr>
          <w:sz w:val="24"/>
          <w:szCs w:val="24"/>
        </w:rPr>
        <w:t xml:space="preserve">linler arası ilişkileri görmeyi </w:t>
      </w:r>
      <w:r w:rsidRPr="0091186E">
        <w:rPr>
          <w:sz w:val="24"/>
          <w:szCs w:val="24"/>
        </w:rPr>
        <w:t>kolaylaştıran kapsamlı bir çerçevede sunulmuştur.</w:t>
      </w:r>
    </w:p>
    <w:p w:rsidR="0091186E" w:rsidRPr="0091186E" w:rsidRDefault="0091186E" w:rsidP="0091186E">
      <w:pPr>
        <w:pStyle w:val="AralkYok"/>
        <w:rPr>
          <w:sz w:val="24"/>
          <w:szCs w:val="24"/>
        </w:rPr>
      </w:pPr>
    </w:p>
    <w:p w:rsidR="0091186E" w:rsidRPr="0091186E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7-Farklılaştırma k</w:t>
      </w:r>
      <w:r w:rsidR="0091186E">
        <w:rPr>
          <w:sz w:val="24"/>
          <w:szCs w:val="24"/>
        </w:rPr>
        <w:t xml:space="preserve">apsamında zenginleştirme veya </w:t>
      </w:r>
      <w:r w:rsidRPr="0091186E">
        <w:rPr>
          <w:sz w:val="24"/>
          <w:szCs w:val="24"/>
        </w:rPr>
        <w:t xml:space="preserve"> destekleme bölümünde yer verilen </w:t>
      </w:r>
    </w:p>
    <w:p w:rsidR="00C94F45" w:rsidRPr="0091186E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tüm uygulamalar</w:t>
      </w:r>
      <w:r w:rsidR="0091186E">
        <w:rPr>
          <w:sz w:val="24"/>
          <w:szCs w:val="24"/>
        </w:rPr>
        <w:t>ın</w:t>
      </w:r>
      <w:r w:rsidRPr="0091186E">
        <w:rPr>
          <w:sz w:val="24"/>
          <w:szCs w:val="24"/>
        </w:rPr>
        <w:t xml:space="preserve">; öğrencilerin ilgi, </w:t>
      </w:r>
      <w:r w:rsidR="0091186E">
        <w:rPr>
          <w:sz w:val="24"/>
          <w:szCs w:val="24"/>
        </w:rPr>
        <w:t xml:space="preserve">ihtiyaç ve istekleri göz önünde </w:t>
      </w:r>
      <w:r w:rsidRPr="0091186E">
        <w:rPr>
          <w:sz w:val="24"/>
          <w:szCs w:val="24"/>
        </w:rPr>
        <w:t>bulundurularak ö</w:t>
      </w:r>
      <w:r w:rsidR="0091186E">
        <w:rPr>
          <w:sz w:val="24"/>
          <w:szCs w:val="24"/>
        </w:rPr>
        <w:t>ğretmenler tarafından planlanması ve yürütülmesi, öğretmenin yaratıcı düşünme gücünü geliştirmesine ve bütün öğrencilere hitap etmesine yardımcı olacaktır.</w:t>
      </w:r>
    </w:p>
    <w:p w:rsidR="0091186E" w:rsidRDefault="0091186E" w:rsidP="0091186E">
      <w:pPr>
        <w:pStyle w:val="AralkYok"/>
        <w:rPr>
          <w:sz w:val="24"/>
          <w:szCs w:val="24"/>
        </w:rPr>
      </w:pPr>
    </w:p>
    <w:p w:rsidR="00C94F45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8- Öğrenme alanlarında yer verilmesi gereken belirli gün ve haftalar</w:t>
      </w:r>
      <w:r w:rsidR="0091186E">
        <w:rPr>
          <w:sz w:val="24"/>
          <w:szCs w:val="24"/>
        </w:rPr>
        <w:t xml:space="preserve">ın önceden belirlenmesi, öğretmenler için olumlu bir </w:t>
      </w:r>
      <w:proofErr w:type="spellStart"/>
      <w:r w:rsidR="0091186E">
        <w:rPr>
          <w:sz w:val="24"/>
          <w:szCs w:val="24"/>
        </w:rPr>
        <w:t>pekiştireçtir</w:t>
      </w:r>
      <w:proofErr w:type="spellEnd"/>
      <w:r w:rsidR="0091186E">
        <w:rPr>
          <w:sz w:val="24"/>
          <w:szCs w:val="24"/>
        </w:rPr>
        <w:t>.</w:t>
      </w:r>
    </w:p>
    <w:p w:rsidR="0091186E" w:rsidRPr="0091186E" w:rsidRDefault="0091186E" w:rsidP="0091186E">
      <w:pPr>
        <w:pStyle w:val="AralkYok"/>
        <w:rPr>
          <w:sz w:val="24"/>
          <w:szCs w:val="24"/>
        </w:rPr>
      </w:pPr>
    </w:p>
    <w:p w:rsidR="00C94F45" w:rsidRPr="0091186E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1. Öğrenme Alanı: İlköğretim Haftası (Eylül ayının üçüncü haftası), 15 Temmuz Demok</w:t>
      </w:r>
      <w:r w:rsidR="0091186E">
        <w:rPr>
          <w:sz w:val="24"/>
          <w:szCs w:val="24"/>
        </w:rPr>
        <w:t xml:space="preserve">rasi ve Millî Birlik Günü (Ders </w:t>
      </w:r>
      <w:r w:rsidRPr="0091186E">
        <w:rPr>
          <w:sz w:val="24"/>
          <w:szCs w:val="24"/>
        </w:rPr>
        <w:t>yılının başladığı ikinci hafta), Hayvanları Koruma Günü (4 Ekim), Cumhuriyet Bayramı (29 Ekim).</w:t>
      </w:r>
    </w:p>
    <w:p w:rsidR="00C94F45" w:rsidRPr="0091186E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2. Öğrenme Alanı: Kızılay Haftası (29 Ekim-4 Kasım), Atatürk Haftası (10-16 Kasım), Afet Eğitimi Hazırlık Günü (12</w:t>
      </w:r>
      <w:r w:rsidR="0091186E">
        <w:rPr>
          <w:sz w:val="24"/>
          <w:szCs w:val="24"/>
        </w:rPr>
        <w:t xml:space="preserve"> </w:t>
      </w:r>
      <w:r w:rsidRPr="0091186E">
        <w:rPr>
          <w:sz w:val="24"/>
          <w:szCs w:val="24"/>
        </w:rPr>
        <w:t>Kasım), Dünya Çocuk Hakları Günü (20 Kasım), Öğretmenler Günü (24 Kasım).</w:t>
      </w:r>
    </w:p>
    <w:p w:rsidR="00C94F45" w:rsidRPr="0091186E" w:rsidRDefault="00C94F45" w:rsidP="004D0109">
      <w:pPr>
        <w:rPr>
          <w:sz w:val="24"/>
          <w:szCs w:val="24"/>
        </w:rPr>
      </w:pPr>
      <w:r w:rsidRPr="00362FB5">
        <w:rPr>
          <w:sz w:val="24"/>
          <w:szCs w:val="24"/>
        </w:rPr>
        <w:lastRenderedPageBreak/>
        <w:t>3</w:t>
      </w:r>
      <w:r w:rsidRPr="0091186E">
        <w:rPr>
          <w:sz w:val="24"/>
          <w:szCs w:val="24"/>
        </w:rPr>
        <w:t>. Öğrenme Alanı: Dünya Engelliler Günü (3 Aralık), İnsan Hakları ve Demokrasi Hafta</w:t>
      </w:r>
      <w:r w:rsidR="0091186E">
        <w:rPr>
          <w:sz w:val="24"/>
          <w:szCs w:val="24"/>
        </w:rPr>
        <w:t xml:space="preserve">sı (10 Aralık gününü içine alan </w:t>
      </w:r>
      <w:r w:rsidRPr="0091186E">
        <w:rPr>
          <w:sz w:val="24"/>
          <w:szCs w:val="24"/>
        </w:rPr>
        <w:t>hafta), Tutum, Yatırım ve Türk Malları Haftası (12-18 Aralık), Enerji Tasarrufu Haftası (Ocak ayının 2. haftası).</w:t>
      </w:r>
    </w:p>
    <w:p w:rsidR="00C94F45" w:rsidRPr="0091186E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4. Öğrenme Alanı: Yeşilay Haftası (1 Mart gününü içine alan hafta), Bilim ve Teknoloj</w:t>
      </w:r>
      <w:r w:rsidR="0091186E">
        <w:rPr>
          <w:sz w:val="24"/>
          <w:szCs w:val="24"/>
        </w:rPr>
        <w:t xml:space="preserve">i Haftası (8-14 Mart), İstiklâl </w:t>
      </w:r>
      <w:r w:rsidRPr="0091186E">
        <w:rPr>
          <w:sz w:val="24"/>
          <w:szCs w:val="24"/>
        </w:rPr>
        <w:t xml:space="preserve">Marşı’nın Kabulü ve Mehmet </w:t>
      </w:r>
      <w:proofErr w:type="spellStart"/>
      <w:r w:rsidRPr="0091186E">
        <w:rPr>
          <w:sz w:val="24"/>
          <w:szCs w:val="24"/>
        </w:rPr>
        <w:t>Âkif</w:t>
      </w:r>
      <w:proofErr w:type="spellEnd"/>
      <w:r w:rsidRPr="0091186E">
        <w:rPr>
          <w:sz w:val="24"/>
          <w:szCs w:val="24"/>
        </w:rPr>
        <w:t xml:space="preserve"> Ersoy’u Anma Günü (12 Mart), Şehitler Günü (18 Mart).</w:t>
      </w:r>
    </w:p>
    <w:p w:rsidR="00C94F45" w:rsidRPr="0091186E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5. Öğrenme Alanı: Orman Haftası (21-26 Mart), Dünya Su Günü (22 Mart), Kütüph</w:t>
      </w:r>
      <w:r w:rsidR="0091186E">
        <w:rPr>
          <w:sz w:val="24"/>
          <w:szCs w:val="24"/>
        </w:rPr>
        <w:t xml:space="preserve">aneler Haftası (Mart ayının son </w:t>
      </w:r>
      <w:r w:rsidRPr="0091186E">
        <w:rPr>
          <w:sz w:val="24"/>
          <w:szCs w:val="24"/>
        </w:rPr>
        <w:t>pazartesi gününü içine alan hafta), Ulusal Egemenlik ve Çocuk Bayramı (23 Nisan).</w:t>
      </w:r>
    </w:p>
    <w:p w:rsidR="00C94F45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6. Öğrenme Alanı: Trafik ve İlk Yardım Haftası (Mayıs ayının ilk haftası), Anneler Günü (M</w:t>
      </w:r>
      <w:r w:rsidR="0091186E">
        <w:rPr>
          <w:sz w:val="24"/>
          <w:szCs w:val="24"/>
        </w:rPr>
        <w:t xml:space="preserve">ayıs ayının ikinci pazar günü), </w:t>
      </w:r>
      <w:r w:rsidRPr="0091186E">
        <w:rPr>
          <w:sz w:val="24"/>
          <w:szCs w:val="24"/>
        </w:rPr>
        <w:t>Atatürk’ü Anma ve Gençlik ve Spor Bayramı (19 Mayıs), Müzeler Haftası (18-24 May</w:t>
      </w:r>
      <w:r w:rsidR="0091186E">
        <w:rPr>
          <w:sz w:val="24"/>
          <w:szCs w:val="24"/>
        </w:rPr>
        <w:t xml:space="preserve">ıs), Çevre ve İklim Değişikliği </w:t>
      </w:r>
      <w:r w:rsidRPr="0091186E">
        <w:rPr>
          <w:sz w:val="24"/>
          <w:szCs w:val="24"/>
        </w:rPr>
        <w:t>Haftası (Haziran ayının ikinci haftası), Zafer Bayramı (30 Ağustos).</w:t>
      </w:r>
    </w:p>
    <w:p w:rsidR="0091186E" w:rsidRPr="0091186E" w:rsidRDefault="0091186E" w:rsidP="0091186E">
      <w:pPr>
        <w:pStyle w:val="AralkYok"/>
        <w:rPr>
          <w:sz w:val="24"/>
          <w:szCs w:val="24"/>
        </w:rPr>
      </w:pPr>
    </w:p>
    <w:p w:rsidR="00C94F45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7-</w:t>
      </w:r>
      <w:r w:rsidR="0091186E">
        <w:rPr>
          <w:sz w:val="24"/>
          <w:szCs w:val="24"/>
        </w:rPr>
        <w:t xml:space="preserve"> </w:t>
      </w:r>
      <w:r w:rsidRPr="0091186E">
        <w:rPr>
          <w:sz w:val="24"/>
          <w:szCs w:val="24"/>
        </w:rPr>
        <w:t>Hayat Bilgisi Dersi Öğretim Programı’nın öğrenme kanıtları bölümünde ölçme amacına, ölçül</w:t>
      </w:r>
      <w:r w:rsidR="0091186E">
        <w:rPr>
          <w:sz w:val="24"/>
          <w:szCs w:val="24"/>
        </w:rPr>
        <w:t xml:space="preserve">ecek becerilere ve beceri </w:t>
      </w:r>
      <w:r w:rsidRPr="0091186E">
        <w:rPr>
          <w:sz w:val="24"/>
          <w:szCs w:val="24"/>
        </w:rPr>
        <w:t>düzeylerine uygun bir şekilde hazırlanmış öğrenme kanıtları yer almaktadır.</w:t>
      </w:r>
    </w:p>
    <w:p w:rsidR="0091186E" w:rsidRPr="0091186E" w:rsidRDefault="0091186E" w:rsidP="0091186E">
      <w:pPr>
        <w:pStyle w:val="AralkYok"/>
        <w:rPr>
          <w:sz w:val="24"/>
          <w:szCs w:val="24"/>
        </w:rPr>
      </w:pPr>
    </w:p>
    <w:p w:rsidR="00C94F45" w:rsidRPr="0091186E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8-</w:t>
      </w:r>
      <w:r w:rsidR="0091186E">
        <w:rPr>
          <w:sz w:val="24"/>
          <w:szCs w:val="24"/>
        </w:rPr>
        <w:t xml:space="preserve"> </w:t>
      </w:r>
      <w:r w:rsidRPr="0091186E">
        <w:rPr>
          <w:sz w:val="24"/>
          <w:szCs w:val="24"/>
        </w:rPr>
        <w:t>Öğrenme-öğretme uygulamaları bölümünde meraka dayalı, sorgulayıcı, derin ve anlamlı</w:t>
      </w:r>
    </w:p>
    <w:p w:rsidR="00214D35" w:rsidRDefault="00C94F45" w:rsidP="0091186E">
      <w:pPr>
        <w:pStyle w:val="AralkYok"/>
        <w:rPr>
          <w:sz w:val="24"/>
          <w:szCs w:val="24"/>
        </w:rPr>
      </w:pPr>
      <w:r w:rsidRPr="0091186E">
        <w:rPr>
          <w:sz w:val="24"/>
          <w:szCs w:val="24"/>
        </w:rPr>
        <w:t>öğrenmeye yönelik etkinliklere yer verilmiştir.</w:t>
      </w:r>
    </w:p>
    <w:p w:rsidR="0091186E" w:rsidRDefault="0091186E" w:rsidP="0091186E">
      <w:pPr>
        <w:pStyle w:val="AralkYok"/>
        <w:rPr>
          <w:sz w:val="24"/>
          <w:szCs w:val="24"/>
        </w:rPr>
      </w:pPr>
    </w:p>
    <w:p w:rsidR="0091186E" w:rsidRDefault="0091186E" w:rsidP="0091186E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9-</w:t>
      </w:r>
      <w:r w:rsidR="004D1B7E">
        <w:rPr>
          <w:sz w:val="24"/>
          <w:szCs w:val="24"/>
        </w:rPr>
        <w:t xml:space="preserve"> Ders kitabı forma sayıları alt-üst sınır olarak belirlenmiştir.</w:t>
      </w:r>
    </w:p>
    <w:p w:rsidR="004D1B7E" w:rsidRDefault="004D1B7E" w:rsidP="0091186E">
      <w:pPr>
        <w:pStyle w:val="AralkYok"/>
        <w:rPr>
          <w:sz w:val="24"/>
          <w:szCs w:val="24"/>
        </w:rPr>
      </w:pPr>
    </w:p>
    <w:p w:rsidR="004D1B7E" w:rsidRDefault="004D1B7E" w:rsidP="0091186E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10- Bazı kavramlar değiştirilmiştir.</w:t>
      </w:r>
    </w:p>
    <w:p w:rsidR="004D1B7E" w:rsidRDefault="004D1B7E" w:rsidP="0091186E">
      <w:pPr>
        <w:pStyle w:val="AralkYok"/>
        <w:rPr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D1B7E" w:rsidTr="004D1B7E">
        <w:tc>
          <w:tcPr>
            <w:tcW w:w="4606" w:type="dxa"/>
          </w:tcPr>
          <w:p w:rsidR="004D1B7E" w:rsidRDefault="004D1B7E" w:rsidP="0091186E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Önceki Hali</w:t>
            </w:r>
          </w:p>
        </w:tc>
        <w:tc>
          <w:tcPr>
            <w:tcW w:w="4606" w:type="dxa"/>
          </w:tcPr>
          <w:p w:rsidR="004D1B7E" w:rsidRDefault="004D1B7E" w:rsidP="0091186E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Değişen Hali</w:t>
            </w:r>
          </w:p>
        </w:tc>
      </w:tr>
      <w:tr w:rsidR="004D1B7E" w:rsidTr="004D1B7E">
        <w:tc>
          <w:tcPr>
            <w:tcW w:w="4606" w:type="dxa"/>
          </w:tcPr>
          <w:p w:rsidR="004D1B7E" w:rsidRDefault="004D1B7E" w:rsidP="0091186E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Ünite adı</w:t>
            </w:r>
          </w:p>
        </w:tc>
        <w:tc>
          <w:tcPr>
            <w:tcW w:w="4606" w:type="dxa"/>
          </w:tcPr>
          <w:p w:rsidR="004D1B7E" w:rsidRDefault="004D1B7E" w:rsidP="0091186E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Öğrenme Alanı</w:t>
            </w:r>
          </w:p>
        </w:tc>
      </w:tr>
      <w:tr w:rsidR="004D1B7E" w:rsidTr="004D1B7E">
        <w:tc>
          <w:tcPr>
            <w:tcW w:w="4606" w:type="dxa"/>
          </w:tcPr>
          <w:p w:rsidR="004D1B7E" w:rsidRDefault="004D1B7E" w:rsidP="0091186E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Ölçme değerlendirme</w:t>
            </w:r>
          </w:p>
        </w:tc>
        <w:tc>
          <w:tcPr>
            <w:tcW w:w="4606" w:type="dxa"/>
          </w:tcPr>
          <w:p w:rsidR="004D1B7E" w:rsidRDefault="004D1B7E" w:rsidP="0091186E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Öğrenme Kanıtları</w:t>
            </w:r>
          </w:p>
        </w:tc>
      </w:tr>
      <w:tr w:rsidR="004D1B7E" w:rsidTr="004D1B7E">
        <w:tc>
          <w:tcPr>
            <w:tcW w:w="4606" w:type="dxa"/>
          </w:tcPr>
          <w:p w:rsidR="004D1B7E" w:rsidRDefault="004D1B7E" w:rsidP="0091186E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Kazanım</w:t>
            </w:r>
          </w:p>
        </w:tc>
        <w:tc>
          <w:tcPr>
            <w:tcW w:w="4606" w:type="dxa"/>
          </w:tcPr>
          <w:p w:rsidR="004D1B7E" w:rsidRDefault="004D1B7E" w:rsidP="0091186E">
            <w:pPr>
              <w:pStyle w:val="AralkYok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Öğrenme çıktısı</w:t>
            </w:r>
          </w:p>
        </w:tc>
      </w:tr>
    </w:tbl>
    <w:p w:rsidR="004D1B7E" w:rsidRDefault="004D1B7E" w:rsidP="0091186E">
      <w:pPr>
        <w:pStyle w:val="AralkYok"/>
        <w:rPr>
          <w:sz w:val="24"/>
          <w:szCs w:val="24"/>
        </w:rPr>
      </w:pPr>
    </w:p>
    <w:p w:rsidR="004D1B7E" w:rsidRDefault="004D1B7E" w:rsidP="004D1B7E">
      <w:r>
        <w:t xml:space="preserve">11- Öğrenme çıktısı sayısı ; 1.sınıfta 53’ten 23’e, 2.sınıfta 50’den 23’e ve 3.sınıfta 45’ten 20’ye düşürülmüştür. </w:t>
      </w:r>
      <w:r w:rsidR="0089741F">
        <w:t>İçerik sadeleştirilmiştir.</w:t>
      </w:r>
    </w:p>
    <w:p w:rsidR="004D1B7E" w:rsidRPr="004D1B7E" w:rsidRDefault="004D1B7E" w:rsidP="004D1B7E">
      <w:r>
        <w:t>12-</w:t>
      </w:r>
      <w:r w:rsidR="0089741F">
        <w:t xml:space="preserve"> </w:t>
      </w:r>
      <w:r>
        <w:t xml:space="preserve">Öğrenme alanları ile ilgili süre planlanır </w:t>
      </w:r>
      <w:proofErr w:type="spellStart"/>
      <w:r>
        <w:t>ken</w:t>
      </w:r>
      <w:proofErr w:type="spellEnd"/>
      <w:r>
        <w:t xml:space="preserve">  </w:t>
      </w:r>
      <w:r w:rsidR="0089741F">
        <w:t xml:space="preserve">Okul Temelli Planlama için  </w:t>
      </w:r>
      <w:r>
        <w:t xml:space="preserve">1 ve 2.sınıfta 6 saat, 3.sınıfta 5 saat </w:t>
      </w:r>
      <w:r w:rsidR="0089741F">
        <w:t>ayrılmıştır. Yerel ve bölgesel eğitim ihtiyaçları dikkate alınmıştır.</w:t>
      </w:r>
    </w:p>
    <w:p w:rsidR="0089741F" w:rsidRPr="004D1B7E" w:rsidRDefault="0089741F"/>
    <w:p w:rsidR="000C3347" w:rsidRDefault="000C3347"/>
    <w:sectPr w:rsidR="000C33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87304" w:rsidRDefault="00287304" w:rsidP="00522EF1">
      <w:pPr>
        <w:spacing w:after="0" w:line="240" w:lineRule="auto"/>
      </w:pPr>
      <w:r>
        <w:separator/>
      </w:r>
    </w:p>
  </w:endnote>
  <w:endnote w:type="continuationSeparator" w:id="0">
    <w:p w:rsidR="00287304" w:rsidRDefault="00287304" w:rsidP="00522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64F2" w:rsidRDefault="003F64F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64F2" w:rsidRDefault="003F64F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64F2" w:rsidRDefault="003F64F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87304" w:rsidRDefault="00287304" w:rsidP="00522EF1">
      <w:pPr>
        <w:spacing w:after="0" w:line="240" w:lineRule="auto"/>
      </w:pPr>
      <w:r>
        <w:separator/>
      </w:r>
    </w:p>
  </w:footnote>
  <w:footnote w:type="continuationSeparator" w:id="0">
    <w:p w:rsidR="00287304" w:rsidRDefault="00287304" w:rsidP="00522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64F2" w:rsidRDefault="003F64F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64F2" w:rsidRDefault="003F64F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64F2" w:rsidRDefault="003F64F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A1A41"/>
    <w:multiLevelType w:val="hybridMultilevel"/>
    <w:tmpl w:val="2B106740"/>
    <w:lvl w:ilvl="0" w:tplc="62D4D6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D5A5C"/>
    <w:multiLevelType w:val="hybridMultilevel"/>
    <w:tmpl w:val="293436D0"/>
    <w:lvl w:ilvl="0" w:tplc="E550BA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685884">
    <w:abstractNumId w:val="0"/>
  </w:num>
  <w:num w:numId="2" w16cid:durableId="1747456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282E"/>
    <w:rsid w:val="000C3347"/>
    <w:rsid w:val="00214D35"/>
    <w:rsid w:val="00287304"/>
    <w:rsid w:val="0031282E"/>
    <w:rsid w:val="00362FB5"/>
    <w:rsid w:val="003F64F2"/>
    <w:rsid w:val="004D0109"/>
    <w:rsid w:val="004D1B7E"/>
    <w:rsid w:val="00522EF1"/>
    <w:rsid w:val="005F7607"/>
    <w:rsid w:val="0089741F"/>
    <w:rsid w:val="0091186E"/>
    <w:rsid w:val="00C94F45"/>
    <w:rsid w:val="00DA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F247D"/>
  <w15:docId w15:val="{C6A345D7-BFA5-8447-8D28-C6F8D9F4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94F45"/>
    <w:pPr>
      <w:ind w:left="720"/>
      <w:contextualSpacing/>
    </w:pPr>
  </w:style>
  <w:style w:type="paragraph" w:styleId="AralkYok">
    <w:name w:val="No Spacing"/>
    <w:uiPriority w:val="1"/>
    <w:qFormat/>
    <w:rsid w:val="0091186E"/>
    <w:pPr>
      <w:spacing w:after="0" w:line="240" w:lineRule="auto"/>
    </w:pPr>
  </w:style>
  <w:style w:type="table" w:styleId="TabloKlavuzu">
    <w:name w:val="Table Grid"/>
    <w:basedOn w:val="NormalTablo"/>
    <w:uiPriority w:val="59"/>
    <w:rsid w:val="004D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522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22EF1"/>
  </w:style>
  <w:style w:type="paragraph" w:styleId="AltBilgi">
    <w:name w:val="footer"/>
    <w:basedOn w:val="Normal"/>
    <w:link w:val="AltBilgiChar"/>
    <w:uiPriority w:val="99"/>
    <w:unhideWhenUsed/>
    <w:rsid w:val="00522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22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Güldüren</dc:creator>
  <cp:lastModifiedBy>Hasan Ayık</cp:lastModifiedBy>
  <cp:revision>8</cp:revision>
  <dcterms:created xsi:type="dcterms:W3CDTF">2024-05-31T18:22:00Z</dcterms:created>
  <dcterms:modified xsi:type="dcterms:W3CDTF">2024-06-02T06:02:00Z</dcterms:modified>
</cp:coreProperties>
</file>