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D1402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D1402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D1402E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566B09" w:rsidP="00D1402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Lise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D1402E">
              <w:rPr>
                <w:rFonts w:ascii="Tahoma" w:hAnsi="Tahoma" w:cs="Tahoma"/>
                <w:b/>
                <w:sz w:val="24"/>
                <w:szCs w:val="24"/>
              </w:rPr>
              <w:t>Coğrafya</w:t>
            </w:r>
            <w:r w:rsidR="00D629F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>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Yeni öğretim programının felsefesinde öne çıkan bazı önemli hususlar şunlardır:</w:t>
            </w:r>
          </w:p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Bireysel Farklılıklara Saygı: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Öğretim programı, öğrencilerin bireysel farklılıklarını dikkate alarak hazırlanmış ve her öğrencinin kendi hızında öğrenmesine olanak tanımaktadır.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Değer ve Beceri Kazanımı: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Program, sadece bilgi aktarımına odaklanmak yerine, öğrencilere değer ve beceri kazandırmayı hedeflemektedir.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Sade ve Anlaşılır Yapı: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Öğretim programı, sade ve anlaşılır bir yapıda hazırlanmış olup, öğrencilerin ve öğretmenlerin kolayca anlayabileceği şekilde düzenlenmiştir.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Güncel ve Geçerli İçerik: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Program, güncel bilimsel gelişmeleri ve teknolojik yenilikleri içermekte, eğitim-öğretim sürecinde hayatla ilişkili konulara yer vermektedir.</w:t>
            </w:r>
          </w:p>
          <w:p w:rsidR="00BB5468" w:rsidRPr="00D1402E" w:rsidRDefault="00D1402E" w:rsidP="00D1402E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Üst Bilişsel Becerilere Yönlendirme: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Program, öğrencileri üst bilişsel becerileri kullanmaya yönlendirmekte ve anlamlı, kalıcı öğrenmeyi sağlamayı amaçlamaktadır.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Yeni programda ünite sıralaması, coğrafyanın temel kavramlarından başlayarak daha karmaşık konulara doğru ilerleyen mantıksal bir yapıya sahiptir. Eski programla karşılaştırıldığında, temel farklılıklar şunlardır: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Coğrafyanın Doğası ve Mekânsal Bilgi Teknolojileri üniteleri öne çekilmiş ve coğrafyanın temellerine ve modern araçlarına daha fazla vurgu yapılmıştır.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Ekonomik Faaliyetler ve Etkileri ünitesi ayrı bir ünite olarak ele alınarak ekonomik coğrafyaya daha fazla önem verilmiştir.</w:t>
            </w:r>
          </w:p>
          <w:p w:rsidR="00D629F5" w:rsidRPr="00656003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 xml:space="preserve">Türkiye coğrafyası, tüm ünitelerde diğer konularla </w:t>
            </w:r>
            <w:proofErr w:type="gramStart"/>
            <w:r w:rsidRPr="00D1402E">
              <w:rPr>
                <w:rFonts w:ascii="Tahoma" w:hAnsi="Tahoma" w:cs="Tahoma"/>
                <w:sz w:val="20"/>
                <w:szCs w:val="20"/>
              </w:rPr>
              <w:t>entegre</w:t>
            </w:r>
            <w:proofErr w:type="gramEnd"/>
            <w:r w:rsidRPr="00D1402E">
              <w:rPr>
                <w:rFonts w:ascii="Tahoma" w:hAnsi="Tahoma" w:cs="Tahoma"/>
                <w:sz w:val="20"/>
                <w:szCs w:val="20"/>
              </w:rPr>
              <w:t xml:space="preserve"> bir şekilde işlenecek şekilde programlanmıştır.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Eklenen içerikler: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Mekânsal bilgi teknolojileri (CBS, uzaktan algılama vb.)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Gezegen sınırı kavramı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Sürdürülebilir kalkınma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Türkiye’nin jeopolitik konumu ve Mavi Vatan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Afetlere dirençli yaşam alanları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Stratejik ve kritik madenler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Tarım 4.0 ve endüstri 4.0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KKTC ve Türk dünyası ile ilişkiler</w:t>
            </w:r>
          </w:p>
          <w:p w:rsid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Kaldırılan/Azaltılan içerikler: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Jeolojik zamanlara ait detaylı bilgiler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Belirli iklim tiplerinin ezbere dayalı özellikleri</w:t>
            </w:r>
          </w:p>
          <w:p w:rsidR="003453A6" w:rsidRPr="00D1402E" w:rsidRDefault="00D1402E" w:rsidP="00D1402E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Türkiye’nin yeryüzü şekillerinin ayrıntılı sınıflandırması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Maarif Modeli, ölçme ve değerlendirmede süreç ve ürüne dayalı değerlendirme anlayışını benimsemektedir. Eski programa göre temel farklar şunlardır: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Öğrenme çıktılarına odaklanma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Performans görevleri, projeler, öz, akran ve grup değerlendirmeleri gibi farklı ölçme araçlarının kullanımı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Dereceli puanlama anahtarları ile beceri gelişiminin değerlendirilmesi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Öğrencilerin değerlendirme sürecine aktif katılımının sağlanması</w:t>
            </w:r>
          </w:p>
          <w:p w:rsid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Örnek Öğrenme Çıktısı:</w:t>
            </w:r>
          </w:p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COĞ.10.3.5. Yakın çevresindeki yeryüzü şekilleri ile beşerî faaliyetler arasındaki etkileşimi sorgulayabilme</w:t>
            </w:r>
          </w:p>
          <w:p w:rsid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Bu öğrenme çıktısının değerlendirilmesi için: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Öğrenciler: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Yakın çevrelerindeki yeryüzü şekillerini ve bu şekillerin beşerî faaliyetlere etkilerini inceleyen bir saha çalışması yapabilirler.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Veri toplama: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Gözlem, fotoğraf çekme, röportaj yapma vb. yöntemler kullanılabilir.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Ürün: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Bulgularını bir rapor veya sunum şeklinde düzenleyebilirler.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Değerlendirme: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Dereceli puanlama anahtarı kullanılarak öğrencilerin sorgulama becerileri (soru sorma, bilgi toplama, düzenleme, çözümleme, sonuç çıkarma vb.) değerlendirilebilir.</w:t>
            </w:r>
          </w:p>
          <w:p w:rsidR="003453A6" w:rsidRPr="00D1402E" w:rsidRDefault="00D1402E" w:rsidP="00D1402E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Öz ve akran değerlendirme: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Öğrencilerin hem kendi çalışmalarını hem de arkadaşlarının çalışmalarını değerlendirmeleri sağlanarak eleştirel düşünme becerileri geliştirilebilir.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(Örnek Ünite: 12. Sınıf - 6. Ünite: Afetler ve Sürdürülebilir Çevre)</w:t>
            </w:r>
          </w:p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Bu ünitede program bileşenleri şu şekilde işlenebilir: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Erdem-Değer-Eylem Modeli:</w:t>
            </w:r>
          </w:p>
          <w:p w:rsidR="00D1402E" w:rsidRPr="00D1402E" w:rsidRDefault="00D1402E" w:rsidP="00D1402E">
            <w:pPr>
              <w:pStyle w:val="ListeParagraf"/>
              <w:numPr>
                <w:ilvl w:val="1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Erdem: Doğaya ve kültürel mirasa saygı duyma, duyarlılık, sorumluluk alma</w:t>
            </w:r>
          </w:p>
          <w:p w:rsidR="00D1402E" w:rsidRPr="00D1402E" w:rsidRDefault="00D1402E" w:rsidP="00D1402E">
            <w:pPr>
              <w:pStyle w:val="ListeParagraf"/>
              <w:numPr>
                <w:ilvl w:val="1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Değer: Doğal kaynakların sürdürülebilir kullanımı, çevre koruma bilinci</w:t>
            </w:r>
          </w:p>
          <w:p w:rsidR="00D1402E" w:rsidRPr="00D1402E" w:rsidRDefault="00D1402E" w:rsidP="00D1402E">
            <w:pPr>
              <w:pStyle w:val="ListeParagraf"/>
              <w:numPr>
                <w:ilvl w:val="1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Eylem: Çevre sorunlarının çözümüne yönelik bireysel ve toplumsal eylemlerde bulunma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Bilgi okuryazarlığı, görsel okuryazarlık, dijital okuryazarlık, sürdürülebilirlik okuryazarlığı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Empati, öz farkındalık, öz düzenleme, sosyal farkındalık, sorumlu karar verme</w:t>
            </w:r>
          </w:p>
          <w:p w:rsidR="00FB7606" w:rsidRPr="00B33B50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lastRenderedPageBreak/>
              <w:t>Öğrenme-öğretme yaşantıları, öğrencilerin bu bileşenleri kazanmalarına ve geliştirmelerine yönelik olarak tasarlanmalıdır. Örneğin, bir çevre sorununu konu alan bir proje çalışması, öğrencilerin hem coğrafi bilgilerini kullanmalarını hem de erdem-değer-eylem modeli çerçevesinde çözüm önerileri geliştirmelerini sağlayabilir.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Yeni program, öğrencilerin bireysel farklılıklarını dikkate alarak zenginleştirme ve destekleme yoluyla öğretimin farklılaştırılmasını önermektedir.</w:t>
            </w:r>
          </w:p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Konulara daha derinlemesine inme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Araştırma projeleri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Yaratıcı ürünler (öykü, şiir, poster vb.)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Uzmanlarla görüşme</w:t>
            </w:r>
          </w:p>
          <w:p w:rsid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Kavramları basitleştirme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Ek materyaller (görsel, işitsel vb.)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Akran öğretimi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Öğrenme sözleşmeleri</w:t>
            </w:r>
          </w:p>
          <w:p w:rsid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1402E" w:rsidRPr="00D1402E" w:rsidRDefault="00D1402E" w:rsidP="00D140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Örnek Durumlar: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CBS konusunda ileri düzeyde bilgiye sahip bir öğrenciye, web tabanlı CBS uygulamaları kullanarak yaşadığı şehrin çevre sorunlarını analiz eden bir proje çalışması verilebilir.</w:t>
            </w:r>
          </w:p>
          <w:p w:rsidR="00721380" w:rsidRPr="00D1402E" w:rsidRDefault="00D1402E" w:rsidP="00D1402E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  <w:r w:rsidRPr="00D1402E">
              <w:rPr>
                <w:rFonts w:ascii="Tahoma" w:hAnsi="Tahoma" w:cs="Tahoma"/>
                <w:sz w:val="20"/>
                <w:szCs w:val="20"/>
              </w:rPr>
              <w:t xml:space="preserve"> Harita okumada zorlanan bir öğrenciye, harita bileşenlerini daha detaylı anlatan görsel materyaller ve akran öğretimi desteği sağlanabilir.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Öğretmenlerin hizmet içi eğitimlerle desteklenerek programın felsefesini, öğrenme çıktılarını ve ölçme-değerlendirme yaklaşımını tam olarak anlamaları sağlanmalıdır.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Okullarda teknolojik altyapı (bilgisayar, internet, CBS yazılımları vb.) güçlendirilmelidir.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Farklılaştırılmış öğretim materyalleri geliştirilmelidir.</w:t>
            </w:r>
          </w:p>
          <w:p w:rsidR="00D1402E" w:rsidRPr="00D1402E" w:rsidRDefault="00D1402E" w:rsidP="00D1402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Saha çalışmaları ve diğer disiplinlerle iş birliği imkânları artırılmalıdır.</w:t>
            </w:r>
          </w:p>
          <w:p w:rsidR="003043DE" w:rsidRPr="00D1402E" w:rsidRDefault="00D1402E" w:rsidP="00D1402E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Velilerin programa ilişkin bilgilendirilmesi ve sürece dâhil edilmesi sağlanmalıdır.</w:t>
            </w:r>
          </w:p>
        </w:tc>
      </w:tr>
    </w:tbl>
    <w:p w:rsidR="00491E38" w:rsidRDefault="00491E38" w:rsidP="005A2692">
      <w:pPr>
        <w:rPr>
          <w:rFonts w:ascii="Tahoma" w:hAnsi="Tahoma" w:cs="Tahoma"/>
          <w:sz w:val="24"/>
          <w:szCs w:val="24"/>
        </w:rPr>
      </w:pPr>
    </w:p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F62C4"/>
    <w:multiLevelType w:val="hybridMultilevel"/>
    <w:tmpl w:val="9ECEF1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E1A1D"/>
    <w:multiLevelType w:val="hybridMultilevel"/>
    <w:tmpl w:val="13061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4A3A"/>
    <w:multiLevelType w:val="hybridMultilevel"/>
    <w:tmpl w:val="BFA480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86F47"/>
    <w:multiLevelType w:val="hybridMultilevel"/>
    <w:tmpl w:val="904A00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323D2"/>
    <w:multiLevelType w:val="hybridMultilevel"/>
    <w:tmpl w:val="C592F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93882"/>
    <w:multiLevelType w:val="hybridMultilevel"/>
    <w:tmpl w:val="D09438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78CB"/>
    <w:multiLevelType w:val="hybridMultilevel"/>
    <w:tmpl w:val="B4F83A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05FDB"/>
    <w:multiLevelType w:val="hybridMultilevel"/>
    <w:tmpl w:val="2146ED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02FAC"/>
    <w:multiLevelType w:val="hybridMultilevel"/>
    <w:tmpl w:val="51360A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71070"/>
    <w:multiLevelType w:val="hybridMultilevel"/>
    <w:tmpl w:val="1786E7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8371B"/>
    <w:multiLevelType w:val="hybridMultilevel"/>
    <w:tmpl w:val="7CF89F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5"/>
  </w:num>
  <w:num w:numId="10">
    <w:abstractNumId w:val="7"/>
  </w:num>
  <w:num w:numId="11">
    <w:abstractNumId w:val="8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134683"/>
    <w:rsid w:val="001704C9"/>
    <w:rsid w:val="001905B0"/>
    <w:rsid w:val="002A1CED"/>
    <w:rsid w:val="003043DE"/>
    <w:rsid w:val="003453A6"/>
    <w:rsid w:val="00392D22"/>
    <w:rsid w:val="0040042C"/>
    <w:rsid w:val="00475AC3"/>
    <w:rsid w:val="00491E38"/>
    <w:rsid w:val="004C42ED"/>
    <w:rsid w:val="0055317C"/>
    <w:rsid w:val="00566B09"/>
    <w:rsid w:val="0058459F"/>
    <w:rsid w:val="00597EB1"/>
    <w:rsid w:val="005A2692"/>
    <w:rsid w:val="005D1ED4"/>
    <w:rsid w:val="005E70D9"/>
    <w:rsid w:val="00606C1A"/>
    <w:rsid w:val="006451D0"/>
    <w:rsid w:val="00656003"/>
    <w:rsid w:val="006562FA"/>
    <w:rsid w:val="00677D6C"/>
    <w:rsid w:val="00721380"/>
    <w:rsid w:val="00776FED"/>
    <w:rsid w:val="007A394C"/>
    <w:rsid w:val="007F66F5"/>
    <w:rsid w:val="008536A1"/>
    <w:rsid w:val="008815BF"/>
    <w:rsid w:val="00893DB1"/>
    <w:rsid w:val="008F211E"/>
    <w:rsid w:val="008F32BD"/>
    <w:rsid w:val="009811EC"/>
    <w:rsid w:val="009A53E7"/>
    <w:rsid w:val="00A63861"/>
    <w:rsid w:val="00A63BF3"/>
    <w:rsid w:val="00AD3E8C"/>
    <w:rsid w:val="00AF0082"/>
    <w:rsid w:val="00B33B50"/>
    <w:rsid w:val="00BB5468"/>
    <w:rsid w:val="00BE04CB"/>
    <w:rsid w:val="00BF69C1"/>
    <w:rsid w:val="00C20036"/>
    <w:rsid w:val="00D1402E"/>
    <w:rsid w:val="00D1634E"/>
    <w:rsid w:val="00D629F5"/>
    <w:rsid w:val="00D92A09"/>
    <w:rsid w:val="00DC0D17"/>
    <w:rsid w:val="00E559D0"/>
    <w:rsid w:val="00E77265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86DD-8F82-4FB9-B06B-5092510D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1115</Words>
  <Characters>6362</Characters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2024-06-17T21:01:00Z</dcterms:created>
  <dcterms:modified xsi:type="dcterms:W3CDTF">2024-06-22T11:16:00Z</dcterms:modified>
</cp:coreProperties>
</file>