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B33B50">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B33B50">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B33B50">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566B09" w:rsidP="00B33B50">
            <w:pPr>
              <w:jc w:val="center"/>
              <w:rPr>
                <w:rFonts w:ascii="Tahoma" w:hAnsi="Tahoma" w:cs="Tahoma"/>
                <w:b/>
                <w:sz w:val="24"/>
                <w:szCs w:val="24"/>
              </w:rPr>
            </w:pPr>
            <w:r>
              <w:rPr>
                <w:rFonts w:ascii="Tahoma" w:hAnsi="Tahoma" w:cs="Tahoma"/>
                <w:b/>
                <w:sz w:val="24"/>
                <w:szCs w:val="24"/>
              </w:rPr>
              <w:t>Lise</w:t>
            </w:r>
            <w:r w:rsidR="001905B0" w:rsidRPr="001905B0">
              <w:rPr>
                <w:rFonts w:ascii="Tahoma" w:hAnsi="Tahoma" w:cs="Tahoma"/>
                <w:b/>
                <w:sz w:val="24"/>
                <w:szCs w:val="24"/>
              </w:rPr>
              <w:t xml:space="preserve"> </w:t>
            </w:r>
            <w:r w:rsidR="00B33B50">
              <w:rPr>
                <w:rFonts w:ascii="Tahoma" w:hAnsi="Tahoma" w:cs="Tahoma"/>
                <w:b/>
                <w:sz w:val="24"/>
                <w:szCs w:val="24"/>
              </w:rPr>
              <w:t>Biyoloji</w:t>
            </w:r>
            <w:r w:rsidR="00D629F5">
              <w:rPr>
                <w:rFonts w:ascii="Tahoma" w:hAnsi="Tahoma" w:cs="Tahoma"/>
                <w:b/>
                <w:sz w:val="24"/>
                <w:szCs w:val="24"/>
              </w:rPr>
              <w:t xml:space="preserve"> </w:t>
            </w:r>
            <w:r w:rsidR="001905B0" w:rsidRPr="001905B0">
              <w:rPr>
                <w:rFonts w:ascii="Tahoma" w:hAnsi="Tahoma" w:cs="Tahoma"/>
                <w:b/>
                <w:sz w:val="24"/>
                <w:szCs w:val="24"/>
              </w:rPr>
              <w:t>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BB5468" w:rsidRPr="00A63BF3" w:rsidRDefault="00B33B50" w:rsidP="00A63BF3">
            <w:pPr>
              <w:rPr>
                <w:rFonts w:ascii="Tahoma" w:hAnsi="Tahoma" w:cs="Tahoma"/>
                <w:sz w:val="20"/>
                <w:szCs w:val="20"/>
              </w:rPr>
            </w:pPr>
            <w:r w:rsidRPr="00B33B50">
              <w:rPr>
                <w:rFonts w:ascii="Tahoma" w:hAnsi="Tahoma" w:cs="Tahoma"/>
                <w:sz w:val="20"/>
                <w:szCs w:val="20"/>
              </w:rPr>
              <w:t xml:space="preserve">Maarif Modeli, bütüncül bir yaklaşım benimseyerek bilgi aktarımının ötesine geçmeyi hedefliyor. Ezber yerine anlamlı ve kalıcı öğrenmeyi, öğrencilerin beceri odaklı bir şekilde gelişmesini ve bu becerileri günlük yaşamda kullanabilmesini vurguluyor. Öğrencilerin merak duygusunu, sorgulama ve araştırma yeteneklerini destekleyerek aktif öğrenme sürecine </w:t>
            </w:r>
            <w:proofErr w:type="gramStart"/>
            <w:r w:rsidRPr="00B33B50">
              <w:rPr>
                <w:rFonts w:ascii="Tahoma" w:hAnsi="Tahoma" w:cs="Tahoma"/>
                <w:sz w:val="20"/>
                <w:szCs w:val="20"/>
              </w:rPr>
              <w:t>dahil</w:t>
            </w:r>
            <w:proofErr w:type="gramEnd"/>
            <w:r w:rsidRPr="00B33B50">
              <w:rPr>
                <w:rFonts w:ascii="Tahoma" w:hAnsi="Tahoma" w:cs="Tahoma"/>
                <w:sz w:val="20"/>
                <w:szCs w:val="20"/>
              </w:rPr>
              <w:t xml:space="preserve"> olmaları amaçlanıyor. Bilim-teknoloji-toplum-çevre etkileşimini vurgulayarak öğrencilerin sorumluluk bilinciyle hareket etmeleri ve eleştirel düşünme becerilerini geliştirmeleri hedefleniyor</w:t>
            </w:r>
            <w:r>
              <w:rPr>
                <w:rFonts w:ascii="Tahoma" w:hAnsi="Tahoma" w:cs="Tahoma"/>
                <w:sz w:val="20"/>
                <w:szCs w:val="20"/>
              </w:rPr>
              <w:t>.</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B33B50" w:rsidRPr="00B33B50" w:rsidRDefault="00B33B50" w:rsidP="00B33B50">
            <w:pPr>
              <w:rPr>
                <w:rFonts w:ascii="Tahoma" w:hAnsi="Tahoma" w:cs="Tahoma"/>
                <w:sz w:val="20"/>
                <w:szCs w:val="20"/>
              </w:rPr>
            </w:pPr>
            <w:r w:rsidRPr="00B33B50">
              <w:rPr>
                <w:rFonts w:ascii="Tahoma" w:hAnsi="Tahoma" w:cs="Tahoma"/>
                <w:sz w:val="20"/>
                <w:szCs w:val="20"/>
              </w:rPr>
              <w:t>Yeni programda ünite yaklaşımı terk edilerek daha önceki programda farklı sınıflara dağılmış konular, temalar altında birleştirilmiş. Bu sayede konular arasında daha güçlü bir bilimsel bütünlük sağlanmış. Eski programda 9, 10, 11 ve 12. sınıflarda sırasıyla 3, 3, 2 ve 4 ünite bulunurken, yeni programda her sınıf düzeyinde iki tema yer alıyor. Bu temalar, konuların daha anlamlı bir çerçevede ele alınmasını sağlıyor.</w:t>
            </w:r>
          </w:p>
          <w:p w:rsidR="00B33B50" w:rsidRDefault="00B33B50" w:rsidP="00B33B50">
            <w:pPr>
              <w:rPr>
                <w:rFonts w:ascii="Tahoma" w:hAnsi="Tahoma" w:cs="Tahoma"/>
                <w:sz w:val="20"/>
                <w:szCs w:val="20"/>
              </w:rPr>
            </w:pPr>
          </w:p>
          <w:p w:rsidR="00B33B50" w:rsidRPr="00B33B50" w:rsidRDefault="00B33B50" w:rsidP="00B33B50">
            <w:pPr>
              <w:rPr>
                <w:rFonts w:ascii="Tahoma" w:hAnsi="Tahoma" w:cs="Tahoma"/>
                <w:b/>
                <w:sz w:val="20"/>
                <w:szCs w:val="20"/>
              </w:rPr>
            </w:pPr>
            <w:r w:rsidRPr="00B33B50">
              <w:rPr>
                <w:rFonts w:ascii="Tahoma" w:hAnsi="Tahoma" w:cs="Tahoma"/>
                <w:b/>
                <w:sz w:val="20"/>
                <w:szCs w:val="20"/>
              </w:rPr>
              <w:t>Temel Farklılıklar Özeti:</w:t>
            </w:r>
          </w:p>
          <w:p w:rsidR="00B33B50" w:rsidRPr="00B33B50" w:rsidRDefault="00B33B50" w:rsidP="00B33B50">
            <w:pPr>
              <w:pStyle w:val="ListeParagraf"/>
              <w:numPr>
                <w:ilvl w:val="0"/>
                <w:numId w:val="3"/>
              </w:numPr>
              <w:rPr>
                <w:rFonts w:ascii="Tahoma" w:hAnsi="Tahoma" w:cs="Tahoma"/>
                <w:sz w:val="20"/>
                <w:szCs w:val="20"/>
              </w:rPr>
            </w:pPr>
            <w:r w:rsidRPr="00B33B50">
              <w:rPr>
                <w:rFonts w:ascii="Tahoma" w:hAnsi="Tahoma" w:cs="Tahoma"/>
                <w:sz w:val="20"/>
                <w:szCs w:val="20"/>
              </w:rPr>
              <w:t>Ünitelerden temaya geçiş</w:t>
            </w:r>
          </w:p>
          <w:p w:rsidR="00B33B50" w:rsidRPr="00B33B50" w:rsidRDefault="00B33B50" w:rsidP="00B33B50">
            <w:pPr>
              <w:pStyle w:val="ListeParagraf"/>
              <w:numPr>
                <w:ilvl w:val="0"/>
                <w:numId w:val="3"/>
              </w:numPr>
              <w:rPr>
                <w:rFonts w:ascii="Tahoma" w:hAnsi="Tahoma" w:cs="Tahoma"/>
                <w:sz w:val="20"/>
                <w:szCs w:val="20"/>
              </w:rPr>
            </w:pPr>
            <w:r w:rsidRPr="00B33B50">
              <w:rPr>
                <w:rFonts w:ascii="Tahoma" w:hAnsi="Tahoma" w:cs="Tahoma"/>
                <w:sz w:val="20"/>
                <w:szCs w:val="20"/>
              </w:rPr>
              <w:t>Tekrar eden konuların bir tema altında toplanması</w:t>
            </w:r>
          </w:p>
          <w:p w:rsidR="00B33B50" w:rsidRPr="00B33B50" w:rsidRDefault="00B33B50" w:rsidP="00B33B50">
            <w:pPr>
              <w:pStyle w:val="ListeParagraf"/>
              <w:numPr>
                <w:ilvl w:val="0"/>
                <w:numId w:val="3"/>
              </w:numPr>
              <w:rPr>
                <w:rFonts w:ascii="Tahoma" w:hAnsi="Tahoma" w:cs="Tahoma"/>
                <w:sz w:val="20"/>
                <w:szCs w:val="20"/>
              </w:rPr>
            </w:pPr>
            <w:r w:rsidRPr="00B33B50">
              <w:rPr>
                <w:rFonts w:ascii="Tahoma" w:hAnsi="Tahoma" w:cs="Tahoma"/>
                <w:sz w:val="20"/>
                <w:szCs w:val="20"/>
              </w:rPr>
              <w:t>Sınıflar arası konu dağılımında değişiklik</w:t>
            </w:r>
          </w:p>
          <w:p w:rsidR="00D629F5" w:rsidRPr="00656003" w:rsidRDefault="00B33B50" w:rsidP="00B33B50">
            <w:pPr>
              <w:pStyle w:val="ListeParagraf"/>
              <w:numPr>
                <w:ilvl w:val="0"/>
                <w:numId w:val="2"/>
              </w:numPr>
              <w:rPr>
                <w:rFonts w:ascii="Tahoma" w:hAnsi="Tahoma" w:cs="Tahoma"/>
                <w:sz w:val="20"/>
                <w:szCs w:val="20"/>
              </w:rPr>
            </w:pPr>
            <w:r w:rsidRPr="00B33B50">
              <w:rPr>
                <w:rFonts w:ascii="Tahoma" w:hAnsi="Tahoma" w:cs="Tahoma"/>
                <w:sz w:val="20"/>
                <w:szCs w:val="20"/>
              </w:rPr>
              <w:t>Beceri odaklı bir yaklaşım</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33B50" w:rsidRPr="00B33B50" w:rsidRDefault="00B33B50" w:rsidP="00B33B50">
            <w:pPr>
              <w:rPr>
                <w:rFonts w:ascii="Tahoma" w:hAnsi="Tahoma" w:cs="Tahoma"/>
                <w:b/>
                <w:sz w:val="20"/>
                <w:szCs w:val="20"/>
              </w:rPr>
            </w:pPr>
            <w:r w:rsidRPr="00B33B50">
              <w:rPr>
                <w:rFonts w:ascii="Tahoma" w:hAnsi="Tahoma" w:cs="Tahoma"/>
                <w:b/>
                <w:sz w:val="20"/>
                <w:szCs w:val="20"/>
              </w:rPr>
              <w:t>Eklenenler:</w:t>
            </w:r>
          </w:p>
          <w:p w:rsidR="00B33B50" w:rsidRPr="00B33B50" w:rsidRDefault="00B33B50" w:rsidP="00B33B50">
            <w:pPr>
              <w:pStyle w:val="ListeParagraf"/>
              <w:numPr>
                <w:ilvl w:val="0"/>
                <w:numId w:val="2"/>
              </w:numPr>
              <w:rPr>
                <w:rFonts w:ascii="Tahoma" w:hAnsi="Tahoma" w:cs="Tahoma"/>
                <w:sz w:val="20"/>
                <w:szCs w:val="20"/>
              </w:rPr>
            </w:pPr>
            <w:proofErr w:type="spellStart"/>
            <w:r w:rsidRPr="00B33B50">
              <w:rPr>
                <w:rFonts w:ascii="Tahoma" w:hAnsi="Tahoma" w:cs="Tahoma"/>
                <w:sz w:val="20"/>
                <w:szCs w:val="20"/>
              </w:rPr>
              <w:t>Biyoinformatik</w:t>
            </w:r>
            <w:proofErr w:type="spellEnd"/>
          </w:p>
          <w:p w:rsidR="00B33B50" w:rsidRPr="00B33B50" w:rsidRDefault="00B33B50" w:rsidP="00B33B50">
            <w:pPr>
              <w:pStyle w:val="ListeParagraf"/>
              <w:numPr>
                <w:ilvl w:val="0"/>
                <w:numId w:val="2"/>
              </w:numPr>
              <w:rPr>
                <w:rFonts w:ascii="Tahoma" w:hAnsi="Tahoma" w:cs="Tahoma"/>
                <w:sz w:val="20"/>
                <w:szCs w:val="20"/>
              </w:rPr>
            </w:pPr>
            <w:r w:rsidRPr="00B33B50">
              <w:rPr>
                <w:rFonts w:ascii="Tahoma" w:hAnsi="Tahoma" w:cs="Tahoma"/>
                <w:sz w:val="20"/>
                <w:szCs w:val="20"/>
              </w:rPr>
              <w:t>CRISPR-</w:t>
            </w:r>
            <w:proofErr w:type="spellStart"/>
            <w:r w:rsidRPr="00B33B50">
              <w:rPr>
                <w:rFonts w:ascii="Tahoma" w:hAnsi="Tahoma" w:cs="Tahoma"/>
                <w:sz w:val="20"/>
                <w:szCs w:val="20"/>
              </w:rPr>
              <w:t>Cas</w:t>
            </w:r>
            <w:proofErr w:type="spellEnd"/>
            <w:r w:rsidRPr="00B33B50">
              <w:rPr>
                <w:rFonts w:ascii="Tahoma" w:hAnsi="Tahoma" w:cs="Tahoma"/>
                <w:sz w:val="20"/>
                <w:szCs w:val="20"/>
              </w:rPr>
              <w:t xml:space="preserve"> uygulamaları</w:t>
            </w:r>
          </w:p>
          <w:p w:rsidR="00B33B50" w:rsidRPr="00B33B50" w:rsidRDefault="00B33B50" w:rsidP="00B33B50">
            <w:pPr>
              <w:pStyle w:val="ListeParagraf"/>
              <w:numPr>
                <w:ilvl w:val="0"/>
                <w:numId w:val="2"/>
              </w:numPr>
              <w:rPr>
                <w:rFonts w:ascii="Tahoma" w:hAnsi="Tahoma" w:cs="Tahoma"/>
                <w:sz w:val="20"/>
                <w:szCs w:val="20"/>
              </w:rPr>
            </w:pPr>
            <w:proofErr w:type="spellStart"/>
            <w:r w:rsidRPr="00B33B50">
              <w:rPr>
                <w:rFonts w:ascii="Tahoma" w:hAnsi="Tahoma" w:cs="Tahoma"/>
                <w:sz w:val="20"/>
                <w:szCs w:val="20"/>
              </w:rPr>
              <w:t>Biyoetik</w:t>
            </w:r>
            <w:proofErr w:type="spellEnd"/>
          </w:p>
          <w:p w:rsidR="00B33B50" w:rsidRPr="00B33B50" w:rsidRDefault="00B33B50" w:rsidP="00B33B50">
            <w:pPr>
              <w:pStyle w:val="ListeParagraf"/>
              <w:numPr>
                <w:ilvl w:val="0"/>
                <w:numId w:val="2"/>
              </w:numPr>
              <w:rPr>
                <w:rFonts w:ascii="Tahoma" w:hAnsi="Tahoma" w:cs="Tahoma"/>
                <w:sz w:val="20"/>
                <w:szCs w:val="20"/>
              </w:rPr>
            </w:pPr>
            <w:proofErr w:type="spellStart"/>
            <w:r w:rsidRPr="00B33B50">
              <w:rPr>
                <w:rFonts w:ascii="Tahoma" w:hAnsi="Tahoma" w:cs="Tahoma"/>
                <w:sz w:val="20"/>
                <w:szCs w:val="20"/>
              </w:rPr>
              <w:t>Biyogüvenlik</w:t>
            </w:r>
            <w:proofErr w:type="spellEnd"/>
          </w:p>
          <w:p w:rsidR="00B33B50" w:rsidRPr="00B33B50" w:rsidRDefault="00B33B50" w:rsidP="00B33B50">
            <w:pPr>
              <w:pStyle w:val="ListeParagraf"/>
              <w:numPr>
                <w:ilvl w:val="0"/>
                <w:numId w:val="2"/>
              </w:numPr>
              <w:rPr>
                <w:rFonts w:ascii="Tahoma" w:hAnsi="Tahoma" w:cs="Tahoma"/>
                <w:sz w:val="20"/>
                <w:szCs w:val="20"/>
              </w:rPr>
            </w:pPr>
            <w:proofErr w:type="spellStart"/>
            <w:r w:rsidRPr="00B33B50">
              <w:rPr>
                <w:rFonts w:ascii="Tahoma" w:hAnsi="Tahoma" w:cs="Tahoma"/>
                <w:sz w:val="20"/>
                <w:szCs w:val="20"/>
              </w:rPr>
              <w:t>Sosyo</w:t>
            </w:r>
            <w:proofErr w:type="spellEnd"/>
            <w:r w:rsidRPr="00B33B50">
              <w:rPr>
                <w:rFonts w:ascii="Tahoma" w:hAnsi="Tahoma" w:cs="Tahoma"/>
                <w:sz w:val="20"/>
                <w:szCs w:val="20"/>
              </w:rPr>
              <w:t>-bilimsel konular (örneğin, GDO tartışmaları)</w:t>
            </w:r>
          </w:p>
          <w:p w:rsidR="00B33B50" w:rsidRDefault="00B33B50" w:rsidP="00B33B50">
            <w:pPr>
              <w:rPr>
                <w:rFonts w:ascii="Tahoma" w:hAnsi="Tahoma" w:cs="Tahoma"/>
                <w:sz w:val="20"/>
                <w:szCs w:val="20"/>
              </w:rPr>
            </w:pPr>
          </w:p>
          <w:p w:rsidR="00B33B50" w:rsidRPr="00B33B50" w:rsidRDefault="00B33B50" w:rsidP="00B33B50">
            <w:pPr>
              <w:rPr>
                <w:rFonts w:ascii="Tahoma" w:hAnsi="Tahoma" w:cs="Tahoma"/>
                <w:b/>
                <w:sz w:val="20"/>
                <w:szCs w:val="20"/>
              </w:rPr>
            </w:pPr>
            <w:r w:rsidRPr="00B33B50">
              <w:rPr>
                <w:rFonts w:ascii="Tahoma" w:hAnsi="Tahoma" w:cs="Tahoma"/>
                <w:b/>
                <w:sz w:val="20"/>
                <w:szCs w:val="20"/>
              </w:rPr>
              <w:lastRenderedPageBreak/>
              <w:t>Kaldırılanlar:</w:t>
            </w:r>
          </w:p>
          <w:p w:rsidR="00B33B50" w:rsidRPr="00B33B50" w:rsidRDefault="00B33B50" w:rsidP="00B33B50">
            <w:pPr>
              <w:pStyle w:val="ListeParagraf"/>
              <w:numPr>
                <w:ilvl w:val="0"/>
                <w:numId w:val="4"/>
              </w:numPr>
              <w:rPr>
                <w:rFonts w:ascii="Tahoma" w:hAnsi="Tahoma" w:cs="Tahoma"/>
                <w:sz w:val="20"/>
                <w:szCs w:val="20"/>
              </w:rPr>
            </w:pPr>
            <w:r w:rsidRPr="00B33B50">
              <w:rPr>
                <w:rFonts w:ascii="Tahoma" w:hAnsi="Tahoma" w:cs="Tahoma"/>
                <w:sz w:val="20"/>
                <w:szCs w:val="20"/>
              </w:rPr>
              <w:t>Detaylı bitki sistematiği</w:t>
            </w:r>
          </w:p>
          <w:p w:rsidR="00B33B50" w:rsidRPr="00B33B50" w:rsidRDefault="00B33B50" w:rsidP="00B33B50">
            <w:pPr>
              <w:pStyle w:val="ListeParagraf"/>
              <w:numPr>
                <w:ilvl w:val="0"/>
                <w:numId w:val="4"/>
              </w:numPr>
              <w:rPr>
                <w:rFonts w:ascii="Tahoma" w:hAnsi="Tahoma" w:cs="Tahoma"/>
                <w:sz w:val="20"/>
                <w:szCs w:val="20"/>
              </w:rPr>
            </w:pPr>
            <w:r w:rsidRPr="00B33B50">
              <w:rPr>
                <w:rFonts w:ascii="Tahoma" w:hAnsi="Tahoma" w:cs="Tahoma"/>
                <w:sz w:val="20"/>
                <w:szCs w:val="20"/>
              </w:rPr>
              <w:t>Hayvan anatomisi ve fizyolojisinde aşırı detaya girilmesi</w:t>
            </w:r>
          </w:p>
          <w:p w:rsidR="003453A6" w:rsidRPr="00B33B50" w:rsidRDefault="00B33B50" w:rsidP="00B33B50">
            <w:pPr>
              <w:pStyle w:val="ListeParagraf"/>
              <w:numPr>
                <w:ilvl w:val="0"/>
                <w:numId w:val="4"/>
              </w:numPr>
              <w:rPr>
                <w:rFonts w:ascii="Tahoma" w:hAnsi="Tahoma" w:cs="Tahoma"/>
                <w:sz w:val="20"/>
                <w:szCs w:val="20"/>
              </w:rPr>
            </w:pPr>
            <w:r w:rsidRPr="00B33B50">
              <w:rPr>
                <w:rFonts w:ascii="Tahoma" w:hAnsi="Tahoma" w:cs="Tahoma"/>
                <w:sz w:val="20"/>
                <w:szCs w:val="20"/>
              </w:rPr>
              <w:t>Karmaşık biyokimyasal reaksiyonlar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33B50" w:rsidRPr="00B33B50" w:rsidRDefault="00B33B50" w:rsidP="00B33B50">
            <w:pPr>
              <w:rPr>
                <w:rFonts w:ascii="Tahoma" w:hAnsi="Tahoma" w:cs="Tahoma"/>
                <w:sz w:val="20"/>
                <w:szCs w:val="20"/>
              </w:rPr>
            </w:pPr>
            <w:r w:rsidRPr="00B33B50">
              <w:rPr>
                <w:rFonts w:ascii="Tahoma" w:hAnsi="Tahoma" w:cs="Tahoma"/>
                <w:sz w:val="20"/>
                <w:szCs w:val="20"/>
              </w:rPr>
              <w:t>Maarif Modelinde ölçme ve değerlendirme, öğrenci merkezli ve sürece dayalı bir anlayışla ele alınıyor. Sadece bilgiyi ölçmek yerine beceri gelişimini de değerlendiren, öğrenciyi motive eden ve farklı ölçme araçlarını kullanan bir yaklaşım benimseniyor.</w:t>
            </w:r>
          </w:p>
          <w:p w:rsidR="00B33B50" w:rsidRDefault="00B33B50" w:rsidP="00B33B50">
            <w:pPr>
              <w:rPr>
                <w:rFonts w:ascii="Tahoma" w:hAnsi="Tahoma" w:cs="Tahoma"/>
                <w:sz w:val="20"/>
                <w:szCs w:val="20"/>
              </w:rPr>
            </w:pPr>
          </w:p>
          <w:p w:rsidR="00B33B50" w:rsidRPr="00B33B50" w:rsidRDefault="00B33B50" w:rsidP="00B33B50">
            <w:pPr>
              <w:rPr>
                <w:rFonts w:ascii="Tahoma" w:hAnsi="Tahoma" w:cs="Tahoma"/>
                <w:b/>
                <w:sz w:val="20"/>
                <w:szCs w:val="20"/>
              </w:rPr>
            </w:pPr>
            <w:r w:rsidRPr="00B33B50">
              <w:rPr>
                <w:rFonts w:ascii="Tahoma" w:hAnsi="Tahoma" w:cs="Tahoma"/>
                <w:b/>
                <w:sz w:val="20"/>
                <w:szCs w:val="20"/>
              </w:rPr>
              <w:t>Öğrenme Çıktısı Örneği (BİY.9.1.1. Biyolojideki dönüm noktalarının insan hayatına katkılarını sorgulayabilme):</w:t>
            </w:r>
          </w:p>
          <w:p w:rsidR="003453A6" w:rsidRPr="00B33B50" w:rsidRDefault="00B33B50" w:rsidP="00B33B50">
            <w:pPr>
              <w:rPr>
                <w:rFonts w:ascii="Tahoma" w:hAnsi="Tahoma" w:cs="Tahoma"/>
                <w:sz w:val="20"/>
                <w:szCs w:val="20"/>
              </w:rPr>
            </w:pPr>
            <w:r w:rsidRPr="00B33B50">
              <w:rPr>
                <w:rFonts w:ascii="Tahoma" w:hAnsi="Tahoma" w:cs="Tahoma"/>
                <w:sz w:val="20"/>
                <w:szCs w:val="20"/>
              </w:rPr>
              <w:t xml:space="preserve">Bu öğrenme çıktısının değerlendirilmesinde öğrenme günlüğü, zihin haritası, araştırma raporu, performans görevi, kontrol noktası, yapılandırılmış </w:t>
            </w:r>
            <w:proofErr w:type="spellStart"/>
            <w:r w:rsidRPr="00B33B50">
              <w:rPr>
                <w:rFonts w:ascii="Tahoma" w:hAnsi="Tahoma" w:cs="Tahoma"/>
                <w:sz w:val="20"/>
                <w:szCs w:val="20"/>
              </w:rPr>
              <w:t>grid</w:t>
            </w:r>
            <w:proofErr w:type="spellEnd"/>
            <w:r w:rsidRPr="00B33B50">
              <w:rPr>
                <w:rFonts w:ascii="Tahoma" w:hAnsi="Tahoma" w:cs="Tahoma"/>
                <w:sz w:val="20"/>
                <w:szCs w:val="20"/>
              </w:rPr>
              <w:t>, açık uçlu soruların yer aldığı çalışma yaprağı, bilgi görseli gibi araçlar kullanılabilir. Değerlendirmede dereceli puanlama anahtarı kullanılarak öğrencinin her bir süreç bileşenindeki performansı ayrıntılı olarak değerlendirilir.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B33B50" w:rsidRPr="00B33B50" w:rsidRDefault="00B33B50" w:rsidP="00B33B50">
            <w:pPr>
              <w:rPr>
                <w:rFonts w:ascii="Tahoma" w:hAnsi="Tahoma" w:cs="Tahoma"/>
                <w:b/>
                <w:sz w:val="20"/>
                <w:szCs w:val="20"/>
              </w:rPr>
            </w:pPr>
            <w:r w:rsidRPr="00B33B50">
              <w:rPr>
                <w:rFonts w:ascii="Tahoma" w:hAnsi="Tahoma" w:cs="Tahoma"/>
                <w:b/>
                <w:sz w:val="20"/>
                <w:szCs w:val="20"/>
              </w:rPr>
              <w:t>(Örnek Tema: 9. Sınıf - Yaşam):</w:t>
            </w:r>
          </w:p>
          <w:p w:rsidR="00FB7606" w:rsidRPr="00B33B50" w:rsidRDefault="00B33B50" w:rsidP="00B33B50">
            <w:pPr>
              <w:rPr>
                <w:rFonts w:ascii="Tahoma" w:hAnsi="Tahoma" w:cs="Tahoma"/>
                <w:sz w:val="20"/>
                <w:szCs w:val="20"/>
              </w:rPr>
            </w:pPr>
            <w:r w:rsidRPr="00B33B50">
              <w:rPr>
                <w:rFonts w:ascii="Tahoma" w:hAnsi="Tahoma" w:cs="Tahoma"/>
                <w:sz w:val="20"/>
                <w:szCs w:val="20"/>
              </w:rPr>
              <w:t>“Yaşam” temasında bilimsel süreç becerileri, eleştirel düşünme ve sorgulama becerileriyle ilişkilendirilen öğrenme çıktıları aracılığıyla erdem-değer-eylem modeli işleniyor. Öğrenciler, biyolojideki dönüm noktalarını incelerken çalışkanlık ve sorumluluk değerlerini kazanarak bu değerleri araştırma yapma, bilgi toplama ve rapor hazırlama gibi eylemlere dönüştürüyor. Sosyal-duygusal öğrenme becerileri, grup çalışmaları ve tartışmalar aracılığıyla geliştiriliyor. Okuryazarlık becerileri ise bilgi toplama, değerlendirme, rapor yazma ve sunum hazırlama gibi etkinliklerle destekleniyor.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B33B50" w:rsidRPr="00B33B50" w:rsidRDefault="00B33B50" w:rsidP="00B33B50">
            <w:pPr>
              <w:rPr>
                <w:rFonts w:ascii="Tahoma" w:hAnsi="Tahoma" w:cs="Tahoma"/>
                <w:sz w:val="20"/>
                <w:szCs w:val="20"/>
              </w:rPr>
            </w:pPr>
            <w:r w:rsidRPr="00B33B50">
              <w:rPr>
                <w:rFonts w:ascii="Tahoma" w:hAnsi="Tahoma" w:cs="Tahoma"/>
                <w:sz w:val="20"/>
                <w:szCs w:val="20"/>
              </w:rPr>
              <w:t>Maarif Modeli, öğrencilerin bireysel farklılıklarını gözeten bir farklılaştırılmış öğretim yaklaşımını savunuyor.</w:t>
            </w:r>
          </w:p>
          <w:p w:rsidR="00B33B50" w:rsidRPr="00B33B50" w:rsidRDefault="00B33B50" w:rsidP="00B33B50">
            <w:pPr>
              <w:pStyle w:val="ListeParagraf"/>
              <w:numPr>
                <w:ilvl w:val="0"/>
                <w:numId w:val="5"/>
              </w:numPr>
              <w:rPr>
                <w:rFonts w:ascii="Tahoma" w:hAnsi="Tahoma" w:cs="Tahoma"/>
                <w:sz w:val="20"/>
                <w:szCs w:val="20"/>
              </w:rPr>
            </w:pPr>
            <w:r w:rsidRPr="00B33B50">
              <w:rPr>
                <w:rFonts w:ascii="Tahoma" w:hAnsi="Tahoma" w:cs="Tahoma"/>
                <w:b/>
                <w:sz w:val="20"/>
                <w:szCs w:val="20"/>
              </w:rPr>
              <w:t>Zenginleştirme:</w:t>
            </w:r>
            <w:r w:rsidRPr="00B33B50">
              <w:rPr>
                <w:rFonts w:ascii="Tahoma" w:hAnsi="Tahoma" w:cs="Tahoma"/>
                <w:sz w:val="20"/>
                <w:szCs w:val="20"/>
              </w:rPr>
              <w:t xml:space="preserve"> Biyolojiye özel ilgi duyan öğrencilere daha derinlemesine öğrenme fırsatları sunarak üst düzey düşünme becerilerini geliştirmeyi hedefliyor.</w:t>
            </w:r>
          </w:p>
          <w:p w:rsidR="00B33B50" w:rsidRPr="00B33B50" w:rsidRDefault="00B33B50" w:rsidP="00B33B50">
            <w:pPr>
              <w:pStyle w:val="ListeParagraf"/>
              <w:numPr>
                <w:ilvl w:val="0"/>
                <w:numId w:val="5"/>
              </w:numPr>
              <w:rPr>
                <w:rFonts w:ascii="Tahoma" w:hAnsi="Tahoma" w:cs="Tahoma"/>
                <w:sz w:val="20"/>
                <w:szCs w:val="20"/>
              </w:rPr>
            </w:pPr>
            <w:r w:rsidRPr="00B33B50">
              <w:rPr>
                <w:rFonts w:ascii="Tahoma" w:hAnsi="Tahoma" w:cs="Tahoma"/>
                <w:b/>
                <w:sz w:val="20"/>
                <w:szCs w:val="20"/>
              </w:rPr>
              <w:t>Destekleme:</w:t>
            </w:r>
            <w:r w:rsidRPr="00B33B50">
              <w:rPr>
                <w:rFonts w:ascii="Tahoma" w:hAnsi="Tahoma" w:cs="Tahoma"/>
                <w:sz w:val="20"/>
                <w:szCs w:val="20"/>
              </w:rPr>
              <w:t xml:space="preserve"> Öğrenme sürecinde daha fazla desteğe ihtiyaç duyan öğrencilere temel bilgileri ve becerileri anlamaları için farklı öğretim yöntem ve materyalleri kullanarak yardımcı oluyor.</w:t>
            </w:r>
          </w:p>
          <w:p w:rsidR="00B33B50" w:rsidRDefault="00B33B50" w:rsidP="00B33B50">
            <w:pPr>
              <w:rPr>
                <w:rFonts w:ascii="Tahoma" w:hAnsi="Tahoma" w:cs="Tahoma"/>
                <w:sz w:val="20"/>
                <w:szCs w:val="20"/>
              </w:rPr>
            </w:pPr>
          </w:p>
          <w:p w:rsidR="00B33B50" w:rsidRPr="00B33B50" w:rsidRDefault="00B33B50" w:rsidP="00B33B50">
            <w:pPr>
              <w:rPr>
                <w:rFonts w:ascii="Tahoma" w:hAnsi="Tahoma" w:cs="Tahoma"/>
                <w:b/>
                <w:sz w:val="20"/>
                <w:szCs w:val="20"/>
              </w:rPr>
            </w:pPr>
            <w:r w:rsidRPr="00B33B50">
              <w:rPr>
                <w:rFonts w:ascii="Tahoma" w:hAnsi="Tahoma" w:cs="Tahoma"/>
                <w:b/>
                <w:sz w:val="20"/>
                <w:szCs w:val="20"/>
              </w:rPr>
              <w:t>Zenginleştirme/Destekleme Gerektiren Durumlar:</w:t>
            </w:r>
          </w:p>
          <w:p w:rsidR="00B33B50" w:rsidRPr="00B33B50" w:rsidRDefault="00B33B50" w:rsidP="00B33B50">
            <w:pPr>
              <w:pStyle w:val="ListeParagraf"/>
              <w:numPr>
                <w:ilvl w:val="0"/>
                <w:numId w:val="6"/>
              </w:numPr>
              <w:rPr>
                <w:rFonts w:ascii="Tahoma" w:hAnsi="Tahoma" w:cs="Tahoma"/>
                <w:sz w:val="20"/>
                <w:szCs w:val="20"/>
              </w:rPr>
            </w:pPr>
            <w:r w:rsidRPr="00B33B50">
              <w:rPr>
                <w:rFonts w:ascii="Tahoma" w:hAnsi="Tahoma" w:cs="Tahoma"/>
                <w:sz w:val="20"/>
                <w:szCs w:val="20"/>
              </w:rPr>
              <w:t>Öğrencilerin ön bilgilerindeki farklılıklar</w:t>
            </w:r>
          </w:p>
          <w:p w:rsidR="00B33B50" w:rsidRPr="00B33B50" w:rsidRDefault="00B33B50" w:rsidP="00B33B50">
            <w:pPr>
              <w:pStyle w:val="ListeParagraf"/>
              <w:numPr>
                <w:ilvl w:val="0"/>
                <w:numId w:val="6"/>
              </w:numPr>
              <w:rPr>
                <w:rFonts w:ascii="Tahoma" w:hAnsi="Tahoma" w:cs="Tahoma"/>
                <w:sz w:val="20"/>
                <w:szCs w:val="20"/>
              </w:rPr>
            </w:pPr>
            <w:r w:rsidRPr="00B33B50">
              <w:rPr>
                <w:rFonts w:ascii="Tahoma" w:hAnsi="Tahoma" w:cs="Tahoma"/>
                <w:sz w:val="20"/>
                <w:szCs w:val="20"/>
              </w:rPr>
              <w:t>Öğrenme hızlarındaki farklılıklar</w:t>
            </w:r>
          </w:p>
          <w:p w:rsidR="00B33B50" w:rsidRPr="00B33B50" w:rsidRDefault="00B33B50" w:rsidP="00B33B50">
            <w:pPr>
              <w:pStyle w:val="ListeParagraf"/>
              <w:numPr>
                <w:ilvl w:val="0"/>
                <w:numId w:val="6"/>
              </w:numPr>
              <w:rPr>
                <w:rFonts w:ascii="Tahoma" w:hAnsi="Tahoma" w:cs="Tahoma"/>
                <w:sz w:val="20"/>
                <w:szCs w:val="20"/>
              </w:rPr>
            </w:pPr>
            <w:r w:rsidRPr="00B33B50">
              <w:rPr>
                <w:rFonts w:ascii="Tahoma" w:hAnsi="Tahoma" w:cs="Tahoma"/>
                <w:sz w:val="20"/>
                <w:szCs w:val="20"/>
              </w:rPr>
              <w:t>İlgi alanlarındaki farklılıklar</w:t>
            </w:r>
          </w:p>
          <w:p w:rsidR="00B33B50" w:rsidRPr="00B33B50" w:rsidRDefault="00B33B50" w:rsidP="00B33B50">
            <w:pPr>
              <w:pStyle w:val="ListeParagraf"/>
              <w:numPr>
                <w:ilvl w:val="0"/>
                <w:numId w:val="6"/>
              </w:numPr>
              <w:rPr>
                <w:rFonts w:ascii="Tahoma" w:hAnsi="Tahoma" w:cs="Tahoma"/>
                <w:sz w:val="20"/>
                <w:szCs w:val="20"/>
              </w:rPr>
            </w:pPr>
            <w:r w:rsidRPr="00B33B50">
              <w:rPr>
                <w:rFonts w:ascii="Tahoma" w:hAnsi="Tahoma" w:cs="Tahoma"/>
                <w:sz w:val="20"/>
                <w:szCs w:val="20"/>
              </w:rPr>
              <w:t>Öğrenme stillerindeki farklılıklar</w:t>
            </w:r>
          </w:p>
          <w:p w:rsidR="00721380" w:rsidRPr="00B33B50" w:rsidRDefault="00B33B50" w:rsidP="00B33B50">
            <w:pPr>
              <w:pStyle w:val="ListeParagraf"/>
              <w:numPr>
                <w:ilvl w:val="0"/>
                <w:numId w:val="6"/>
              </w:numPr>
              <w:rPr>
                <w:rFonts w:ascii="Tahoma" w:hAnsi="Tahoma" w:cs="Tahoma"/>
                <w:sz w:val="20"/>
                <w:szCs w:val="20"/>
              </w:rPr>
            </w:pPr>
            <w:r w:rsidRPr="00B33B50">
              <w:rPr>
                <w:rFonts w:ascii="Tahoma" w:hAnsi="Tahoma" w:cs="Tahoma"/>
                <w:sz w:val="20"/>
                <w:szCs w:val="20"/>
              </w:rPr>
              <w:t xml:space="preserve">Özel </w:t>
            </w:r>
            <w:proofErr w:type="spellStart"/>
            <w:r w:rsidRPr="00B33B50">
              <w:rPr>
                <w:rFonts w:ascii="Tahoma" w:hAnsi="Tahoma" w:cs="Tahoma"/>
                <w:sz w:val="20"/>
                <w:szCs w:val="20"/>
              </w:rPr>
              <w:t>gereksinimli</w:t>
            </w:r>
            <w:proofErr w:type="spellEnd"/>
            <w:r w:rsidRPr="00B33B50">
              <w:rPr>
                <w:rFonts w:ascii="Tahoma" w:hAnsi="Tahoma" w:cs="Tahoma"/>
                <w:sz w:val="20"/>
                <w:szCs w:val="20"/>
              </w:rPr>
              <w:t xml:space="preserve"> öğrencilerin varlığı</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B33B50" w:rsidRPr="00B33B50" w:rsidRDefault="00B33B50" w:rsidP="00B33B50">
            <w:pPr>
              <w:pStyle w:val="ListeParagraf"/>
              <w:numPr>
                <w:ilvl w:val="0"/>
                <w:numId w:val="7"/>
              </w:numPr>
              <w:rPr>
                <w:rFonts w:ascii="Tahoma" w:hAnsi="Tahoma" w:cs="Tahoma"/>
                <w:sz w:val="20"/>
                <w:szCs w:val="20"/>
              </w:rPr>
            </w:pPr>
            <w:r w:rsidRPr="00B33B50">
              <w:rPr>
                <w:rFonts w:ascii="Tahoma" w:hAnsi="Tahoma" w:cs="Tahoma"/>
                <w:sz w:val="20"/>
                <w:szCs w:val="20"/>
              </w:rPr>
              <w:t>Öğretmenlerin yeni program felsefesini ve yaklaşımını benimsemesi için hizmet içi eğitimler düzenlenmeli.</w:t>
            </w:r>
          </w:p>
          <w:p w:rsidR="00B33B50" w:rsidRPr="00B33B50" w:rsidRDefault="00B33B50" w:rsidP="00B33B50">
            <w:pPr>
              <w:pStyle w:val="ListeParagraf"/>
              <w:numPr>
                <w:ilvl w:val="0"/>
                <w:numId w:val="7"/>
              </w:numPr>
              <w:rPr>
                <w:rFonts w:ascii="Tahoma" w:hAnsi="Tahoma" w:cs="Tahoma"/>
                <w:sz w:val="20"/>
                <w:szCs w:val="20"/>
              </w:rPr>
            </w:pPr>
            <w:r w:rsidRPr="00B33B50">
              <w:rPr>
                <w:rFonts w:ascii="Tahoma" w:hAnsi="Tahoma" w:cs="Tahoma"/>
                <w:sz w:val="20"/>
                <w:szCs w:val="20"/>
              </w:rPr>
              <w:t>Farklılaştırılmış öğretim için gerekli materyal ve kaynaklar sağlanmalı.</w:t>
            </w:r>
          </w:p>
          <w:p w:rsidR="00B33B50" w:rsidRPr="00B33B50" w:rsidRDefault="00B33B50" w:rsidP="00B33B50">
            <w:pPr>
              <w:pStyle w:val="ListeParagraf"/>
              <w:numPr>
                <w:ilvl w:val="0"/>
                <w:numId w:val="7"/>
              </w:numPr>
              <w:rPr>
                <w:rFonts w:ascii="Tahoma" w:hAnsi="Tahoma" w:cs="Tahoma"/>
                <w:sz w:val="20"/>
                <w:szCs w:val="20"/>
              </w:rPr>
            </w:pPr>
            <w:r w:rsidRPr="00B33B50">
              <w:rPr>
                <w:rFonts w:ascii="Tahoma" w:hAnsi="Tahoma" w:cs="Tahoma"/>
                <w:sz w:val="20"/>
                <w:szCs w:val="20"/>
              </w:rPr>
              <w:t>Teknolojik altyapı güçlendirilmeli ve dijital öğrenme ortamları etkin kullanılmalı.</w:t>
            </w:r>
          </w:p>
          <w:p w:rsidR="00B33B50" w:rsidRPr="00B33B50" w:rsidRDefault="00B33B50" w:rsidP="00B33B50">
            <w:pPr>
              <w:pStyle w:val="ListeParagraf"/>
              <w:numPr>
                <w:ilvl w:val="0"/>
                <w:numId w:val="7"/>
              </w:numPr>
              <w:rPr>
                <w:rFonts w:ascii="Tahoma" w:hAnsi="Tahoma" w:cs="Tahoma"/>
                <w:sz w:val="20"/>
                <w:szCs w:val="20"/>
              </w:rPr>
            </w:pPr>
            <w:r w:rsidRPr="00B33B50">
              <w:rPr>
                <w:rFonts w:ascii="Tahoma" w:hAnsi="Tahoma" w:cs="Tahoma"/>
                <w:sz w:val="20"/>
                <w:szCs w:val="20"/>
              </w:rPr>
              <w:t>Öğretmenlere esneklik tanınarak programı kendi sınıflarının ihtiyaçlarına göre uyarlamalarına olanak sağlanmalı.</w:t>
            </w:r>
          </w:p>
          <w:p w:rsidR="00B33B50" w:rsidRPr="00B33B50" w:rsidRDefault="00B33B50" w:rsidP="00B33B50">
            <w:pPr>
              <w:pStyle w:val="ListeParagraf"/>
              <w:numPr>
                <w:ilvl w:val="0"/>
                <w:numId w:val="7"/>
              </w:numPr>
              <w:rPr>
                <w:rFonts w:ascii="Tahoma" w:hAnsi="Tahoma" w:cs="Tahoma"/>
                <w:sz w:val="20"/>
                <w:szCs w:val="20"/>
              </w:rPr>
            </w:pPr>
            <w:r w:rsidRPr="00B33B50">
              <w:rPr>
                <w:rFonts w:ascii="Tahoma" w:hAnsi="Tahoma" w:cs="Tahoma"/>
                <w:sz w:val="20"/>
                <w:szCs w:val="20"/>
              </w:rPr>
              <w:t>Öğrenci merkezli bir sınıf ortamı oluşturularak öğrencilerin aktif katılımı teşvik edilmeli.</w:t>
            </w:r>
          </w:p>
          <w:p w:rsidR="00B33B50" w:rsidRPr="00B33B50" w:rsidRDefault="00B33B50" w:rsidP="00B33B50">
            <w:pPr>
              <w:pStyle w:val="ListeParagraf"/>
              <w:numPr>
                <w:ilvl w:val="0"/>
                <w:numId w:val="7"/>
              </w:numPr>
              <w:rPr>
                <w:rFonts w:ascii="Tahoma" w:hAnsi="Tahoma" w:cs="Tahoma"/>
                <w:sz w:val="20"/>
                <w:szCs w:val="20"/>
              </w:rPr>
            </w:pPr>
            <w:r w:rsidRPr="00B33B50">
              <w:rPr>
                <w:rFonts w:ascii="Tahoma" w:hAnsi="Tahoma" w:cs="Tahoma"/>
                <w:sz w:val="20"/>
                <w:szCs w:val="20"/>
              </w:rPr>
              <w:lastRenderedPageBreak/>
              <w:t>Ölçme ve değerlendirme uygulamalarında çok yönlü ve sürece dayalı bir yaklaşım benimsenmeli.</w:t>
            </w:r>
          </w:p>
          <w:p w:rsidR="003043DE" w:rsidRPr="00B33B50" w:rsidRDefault="00B33B50" w:rsidP="00B33B50">
            <w:pPr>
              <w:pStyle w:val="ListeParagraf"/>
              <w:numPr>
                <w:ilvl w:val="0"/>
                <w:numId w:val="7"/>
              </w:numPr>
              <w:rPr>
                <w:rFonts w:ascii="Tahoma" w:hAnsi="Tahoma" w:cs="Tahoma"/>
                <w:sz w:val="20"/>
                <w:szCs w:val="20"/>
              </w:rPr>
            </w:pPr>
            <w:r w:rsidRPr="00B33B50">
              <w:rPr>
                <w:rFonts w:ascii="Tahoma" w:hAnsi="Tahoma" w:cs="Tahoma"/>
                <w:sz w:val="20"/>
                <w:szCs w:val="20"/>
              </w:rPr>
              <w:t>Velilerle iş birliği yapılarak programın amacı ve içeriği hakkında bilgilendirme yapılmalı.</w:t>
            </w:r>
          </w:p>
        </w:tc>
      </w:tr>
    </w:tbl>
    <w:p w:rsidR="00491E38" w:rsidRDefault="00491E38"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DB4FF2"/>
    <w:multiLevelType w:val="hybridMultilevel"/>
    <w:tmpl w:val="9536BCC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68539F4"/>
    <w:multiLevelType w:val="hybridMultilevel"/>
    <w:tmpl w:val="269812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FD16694"/>
    <w:multiLevelType w:val="hybridMultilevel"/>
    <w:tmpl w:val="34FAC7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54493882"/>
    <w:multiLevelType w:val="hybridMultilevel"/>
    <w:tmpl w:val="DE3C5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633400FC"/>
    <w:multiLevelType w:val="hybridMultilevel"/>
    <w:tmpl w:val="BDE44A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9FA6ADD"/>
    <w:multiLevelType w:val="hybridMultilevel"/>
    <w:tmpl w:val="DA7680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2"/>
  </w:num>
  <w:num w:numId="6">
    <w:abstractNumId w:val="5"/>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34683"/>
    <w:rsid w:val="001704C9"/>
    <w:rsid w:val="001905B0"/>
    <w:rsid w:val="002A1CED"/>
    <w:rsid w:val="003043DE"/>
    <w:rsid w:val="003453A6"/>
    <w:rsid w:val="00392D22"/>
    <w:rsid w:val="0040042C"/>
    <w:rsid w:val="00475AC3"/>
    <w:rsid w:val="00491E38"/>
    <w:rsid w:val="004C42ED"/>
    <w:rsid w:val="0055317C"/>
    <w:rsid w:val="00566B09"/>
    <w:rsid w:val="0058459F"/>
    <w:rsid w:val="00597EB1"/>
    <w:rsid w:val="005A2692"/>
    <w:rsid w:val="005D1ED4"/>
    <w:rsid w:val="005E70D9"/>
    <w:rsid w:val="00606C1A"/>
    <w:rsid w:val="00656003"/>
    <w:rsid w:val="006562FA"/>
    <w:rsid w:val="00677D6C"/>
    <w:rsid w:val="00721380"/>
    <w:rsid w:val="00776FED"/>
    <w:rsid w:val="007A394C"/>
    <w:rsid w:val="007F66F5"/>
    <w:rsid w:val="008536A1"/>
    <w:rsid w:val="008815BF"/>
    <w:rsid w:val="00893DB1"/>
    <w:rsid w:val="008F211E"/>
    <w:rsid w:val="008F32BD"/>
    <w:rsid w:val="009811EC"/>
    <w:rsid w:val="009A53E7"/>
    <w:rsid w:val="00A63861"/>
    <w:rsid w:val="00A63BF3"/>
    <w:rsid w:val="00AD3E8C"/>
    <w:rsid w:val="00AF0082"/>
    <w:rsid w:val="00B33B50"/>
    <w:rsid w:val="00BB5468"/>
    <w:rsid w:val="00BE04CB"/>
    <w:rsid w:val="00BF69C1"/>
    <w:rsid w:val="00C20036"/>
    <w:rsid w:val="00D1634E"/>
    <w:rsid w:val="00D62373"/>
    <w:rsid w:val="00D629F5"/>
    <w:rsid w:val="00D92A09"/>
    <w:rsid w:val="00DC0D17"/>
    <w:rsid w:val="00E559D0"/>
    <w:rsid w:val="00E77265"/>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C09D8-54B4-4532-8E08-43DC0C792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926</Words>
  <Characters>5281</Characters>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2024-06-17T18:49:00Z</dcterms:created>
  <dcterms:modified xsi:type="dcterms:W3CDTF">2024-06-22T11:15:00Z</dcterms:modified>
</cp:coreProperties>
</file>