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2E4D" w:rsidRDefault="00F72E4D" w:rsidP="00F72E4D">
      <w:pPr>
        <w:spacing w:after="0"/>
        <w:ind w:left="709" w:hanging="709"/>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 xml:space="preserve">Özel Rize Poyraz Okulları </w:t>
      </w:r>
    </w:p>
    <w:p w:rsidR="00F27302" w:rsidRPr="008E6B32" w:rsidRDefault="00F27302" w:rsidP="00F03F79">
      <w:pPr>
        <w:spacing w:after="0"/>
        <w:ind w:left="709" w:hanging="709"/>
        <w:jc w:val="center"/>
        <w:rPr>
          <w:rFonts w:ascii="Times New Roman" w:eastAsia="Calibri" w:hAnsi="Times New Roman" w:cs="Times New Roman"/>
          <w:b/>
          <w:bCs/>
          <w:sz w:val="28"/>
          <w:szCs w:val="28"/>
        </w:rPr>
      </w:pPr>
      <w:r w:rsidRPr="008E6B32">
        <w:rPr>
          <w:rFonts w:ascii="Times New Roman" w:eastAsia="Calibri" w:hAnsi="Times New Roman" w:cs="Times New Roman"/>
          <w:b/>
          <w:bCs/>
          <w:sz w:val="28"/>
          <w:szCs w:val="28"/>
        </w:rPr>
        <w:t>2023-2024 Eğitim Öğretim Yılı</w:t>
      </w:r>
    </w:p>
    <w:p w:rsidR="00F27302" w:rsidRDefault="00F27302" w:rsidP="00F03F79">
      <w:pPr>
        <w:spacing w:after="0"/>
        <w:ind w:left="709" w:hanging="709"/>
        <w:jc w:val="center"/>
        <w:rPr>
          <w:rFonts w:ascii="Times New Roman" w:eastAsia="Calibri" w:hAnsi="Times New Roman" w:cs="Times New Roman"/>
          <w:b/>
          <w:bCs/>
          <w:sz w:val="28"/>
          <w:szCs w:val="28"/>
        </w:rPr>
      </w:pPr>
      <w:r w:rsidRPr="008E6B32">
        <w:rPr>
          <w:rFonts w:ascii="Times New Roman" w:eastAsia="Calibri" w:hAnsi="Times New Roman" w:cs="Times New Roman"/>
          <w:b/>
          <w:bCs/>
          <w:sz w:val="28"/>
          <w:szCs w:val="28"/>
        </w:rPr>
        <w:t xml:space="preserve">11. Sınıf Felsefe Dersi </w:t>
      </w:r>
      <w:r w:rsidR="002A2222">
        <w:rPr>
          <w:rFonts w:ascii="Times New Roman" w:eastAsia="Calibri" w:hAnsi="Times New Roman" w:cs="Times New Roman"/>
          <w:b/>
          <w:bCs/>
          <w:sz w:val="28"/>
          <w:szCs w:val="28"/>
        </w:rPr>
        <w:t xml:space="preserve">II. Dönem </w:t>
      </w:r>
      <w:r w:rsidRPr="008E6B32">
        <w:rPr>
          <w:rFonts w:ascii="Times New Roman" w:eastAsia="Calibri" w:hAnsi="Times New Roman" w:cs="Times New Roman"/>
          <w:b/>
          <w:bCs/>
          <w:sz w:val="28"/>
          <w:szCs w:val="28"/>
        </w:rPr>
        <w:t>I. Yazılı Sınavı</w:t>
      </w:r>
    </w:p>
    <w:p w:rsidR="004D1482" w:rsidRPr="008E6B32" w:rsidRDefault="004D1482" w:rsidP="00F03F79">
      <w:pPr>
        <w:spacing w:after="0"/>
        <w:rPr>
          <w:rFonts w:ascii="Times New Roman" w:eastAsia="Calibri" w:hAnsi="Times New Roman" w:cs="Times New Roman"/>
          <w:b/>
          <w:bCs/>
          <w:sz w:val="28"/>
          <w:szCs w:val="28"/>
        </w:rPr>
      </w:pPr>
    </w:p>
    <w:p w:rsidR="00F03F79" w:rsidRPr="004D1482" w:rsidRDefault="007901BC" w:rsidP="00F03F79">
      <w:pPr>
        <w:tabs>
          <w:tab w:val="left" w:pos="-993"/>
          <w:tab w:val="left" w:pos="7770"/>
        </w:tabs>
        <w:ind w:left="709" w:hanging="709"/>
        <w:rPr>
          <w:rFonts w:ascii="Times New Roman" w:eastAsia="Calibri" w:hAnsi="Times New Roman" w:cs="Times New Roman"/>
          <w:b/>
          <w:bCs/>
          <w:sz w:val="28"/>
          <w:szCs w:val="28"/>
        </w:rPr>
      </w:pPr>
      <w:r w:rsidRPr="008E6B32">
        <w:rPr>
          <w:rFonts w:ascii="Times New Roman" w:eastAsia="Calibri" w:hAnsi="Times New Roman" w:cs="Times New Roman"/>
          <w:b/>
          <w:bCs/>
          <w:sz w:val="28"/>
          <w:szCs w:val="28"/>
        </w:rPr>
        <w:tab/>
        <w:t>Adı-Soyadı</w:t>
      </w:r>
      <w:r w:rsidR="008E6B32">
        <w:rPr>
          <w:rFonts w:ascii="Times New Roman" w:eastAsia="Calibri" w:hAnsi="Times New Roman" w:cs="Times New Roman"/>
          <w:b/>
          <w:bCs/>
          <w:sz w:val="28"/>
          <w:szCs w:val="28"/>
        </w:rPr>
        <w:t xml:space="preserve">                                                   Sınıfı                     </w:t>
      </w:r>
      <w:r w:rsidR="00F72E4D">
        <w:rPr>
          <w:rFonts w:ascii="Times New Roman" w:eastAsia="Calibri" w:hAnsi="Times New Roman" w:cs="Times New Roman"/>
          <w:b/>
          <w:bCs/>
          <w:sz w:val="28"/>
          <w:szCs w:val="28"/>
        </w:rPr>
        <w:t xml:space="preserve">     </w:t>
      </w:r>
      <w:r w:rsidR="008E6B32">
        <w:rPr>
          <w:rFonts w:ascii="Times New Roman" w:eastAsia="Calibri" w:hAnsi="Times New Roman" w:cs="Times New Roman"/>
          <w:b/>
          <w:bCs/>
          <w:sz w:val="28"/>
          <w:szCs w:val="28"/>
        </w:rPr>
        <w:t xml:space="preserve"> </w:t>
      </w:r>
      <w:r w:rsidR="00F27302" w:rsidRPr="008E6B32">
        <w:rPr>
          <w:rFonts w:ascii="Times New Roman" w:eastAsia="Calibri" w:hAnsi="Times New Roman" w:cs="Times New Roman"/>
          <w:b/>
          <w:bCs/>
          <w:sz w:val="28"/>
          <w:szCs w:val="28"/>
        </w:rPr>
        <w:t xml:space="preserve">Tarih: </w:t>
      </w:r>
    </w:p>
    <w:p w:rsidR="00F27302" w:rsidRPr="00F4717A" w:rsidRDefault="002A2222" w:rsidP="00F03F79">
      <w:pPr>
        <w:pStyle w:val="ListeParagraf"/>
        <w:numPr>
          <w:ilvl w:val="0"/>
          <w:numId w:val="3"/>
        </w:numPr>
        <w:spacing w:after="0"/>
        <w:rPr>
          <w:rFonts w:ascii="Times New Roman" w:hAnsi="Times New Roman" w:cs="Times New Roman"/>
          <w:b/>
          <w:sz w:val="28"/>
          <w:szCs w:val="28"/>
        </w:rPr>
      </w:pPr>
      <w:r w:rsidRPr="00F4717A">
        <w:rPr>
          <w:rFonts w:ascii="Times New Roman" w:hAnsi="Times New Roman" w:cs="Times New Roman"/>
          <w:b/>
          <w:sz w:val="28"/>
          <w:szCs w:val="28"/>
        </w:rPr>
        <w:t>11.3.1</w:t>
      </w:r>
      <w:r w:rsidR="00F27302" w:rsidRPr="00F4717A">
        <w:rPr>
          <w:rFonts w:ascii="Times New Roman" w:hAnsi="Times New Roman" w:cs="Times New Roman"/>
          <w:b/>
          <w:sz w:val="28"/>
          <w:szCs w:val="28"/>
        </w:rPr>
        <w:t xml:space="preserve">. </w:t>
      </w:r>
      <w:r w:rsidRPr="00F4717A">
        <w:rPr>
          <w:rFonts w:ascii="Times New Roman" w:hAnsi="Times New Roman" w:cs="Times New Roman"/>
          <w:b/>
          <w:sz w:val="28"/>
          <w:szCs w:val="28"/>
        </w:rPr>
        <w:t xml:space="preserve">15.yy-17.yy </w:t>
      </w:r>
      <w:r w:rsidR="00DB1EF8" w:rsidRPr="00F4717A">
        <w:rPr>
          <w:rFonts w:ascii="Times New Roman" w:hAnsi="Times New Roman" w:cs="Times New Roman"/>
          <w:b/>
          <w:sz w:val="28"/>
          <w:szCs w:val="28"/>
        </w:rPr>
        <w:t xml:space="preserve">. </w:t>
      </w:r>
      <w:r w:rsidR="00F03F79" w:rsidRPr="00F4717A">
        <w:rPr>
          <w:rFonts w:ascii="Times New Roman" w:hAnsi="Times New Roman" w:cs="Times New Roman"/>
          <w:b/>
          <w:sz w:val="28"/>
          <w:szCs w:val="28"/>
        </w:rPr>
        <w:t>Felsefesini</w:t>
      </w:r>
      <w:r w:rsidRPr="00F4717A">
        <w:rPr>
          <w:rFonts w:ascii="Times New Roman" w:hAnsi="Times New Roman" w:cs="Times New Roman"/>
          <w:b/>
          <w:sz w:val="28"/>
          <w:szCs w:val="28"/>
        </w:rPr>
        <w:t xml:space="preserve"> hazırlayan düşünce ortamını açıklar.</w:t>
      </w:r>
      <w:r w:rsidR="00DB1EF8" w:rsidRPr="00F4717A">
        <w:rPr>
          <w:rFonts w:ascii="Times New Roman" w:hAnsi="Times New Roman" w:cs="Times New Roman"/>
          <w:b/>
          <w:sz w:val="28"/>
          <w:szCs w:val="28"/>
        </w:rPr>
        <w:t xml:space="preserve"> (20 puan)</w:t>
      </w:r>
      <w:r w:rsidR="00187A2A">
        <w:rPr>
          <w:rFonts w:ascii="Times New Roman" w:hAnsi="Times New Roman" w:cs="Times New Roman"/>
          <w:b/>
          <w:sz w:val="28"/>
          <w:szCs w:val="28"/>
        </w:rPr>
        <w:t xml:space="preserve">      </w:t>
      </w:r>
    </w:p>
    <w:p w:rsidR="00187A2A" w:rsidRDefault="00187A2A" w:rsidP="00187A2A">
      <w:pPr>
        <w:pStyle w:val="ListeParagraf"/>
        <w:spacing w:after="0"/>
        <w:rPr>
          <w:rFonts w:ascii="Times New Roman" w:hAnsi="Times New Roman" w:cs="Times New Roman"/>
          <w:sz w:val="28"/>
          <w:szCs w:val="28"/>
        </w:rPr>
      </w:pPr>
    </w:p>
    <w:p w:rsidR="00F03F79" w:rsidRDefault="00F03F79" w:rsidP="00F03F79">
      <w:pPr>
        <w:spacing w:after="0"/>
        <w:ind w:left="142"/>
        <w:rPr>
          <w:rFonts w:ascii="Times New Roman" w:hAnsi="Times New Roman" w:cs="Times New Roman"/>
          <w:sz w:val="28"/>
          <w:szCs w:val="28"/>
        </w:rPr>
      </w:pPr>
    </w:p>
    <w:p w:rsidR="00F03F79" w:rsidRDefault="00F03F79" w:rsidP="00B62110">
      <w:pPr>
        <w:spacing w:after="0"/>
        <w:ind w:left="709" w:firstLine="707"/>
        <w:rPr>
          <w:rFonts w:ascii="Times New Roman" w:hAnsi="Times New Roman" w:cs="Times New Roman"/>
          <w:b/>
          <w:sz w:val="28"/>
          <w:szCs w:val="28"/>
        </w:rPr>
      </w:pPr>
      <w:r w:rsidRPr="00F03F79">
        <w:rPr>
          <w:rFonts w:ascii="Times New Roman" w:hAnsi="Times New Roman" w:cs="Times New Roman"/>
          <w:b/>
          <w:sz w:val="28"/>
          <w:szCs w:val="28"/>
        </w:rPr>
        <w:t>Avrupa’da Rönesans döneminin başlamasında İslam coğrafyasının, doğunun rolünü açıklayınız.</w:t>
      </w:r>
      <w:r w:rsidR="00B62110">
        <w:rPr>
          <w:rFonts w:ascii="Times New Roman" w:hAnsi="Times New Roman" w:cs="Times New Roman"/>
          <w:b/>
          <w:sz w:val="28"/>
          <w:szCs w:val="28"/>
        </w:rPr>
        <w:t xml:space="preserve"> </w:t>
      </w:r>
    </w:p>
    <w:p w:rsidR="00503273" w:rsidRPr="00187A2A" w:rsidRDefault="00503273" w:rsidP="00503273">
      <w:pPr>
        <w:pStyle w:val="ListeParagraf"/>
        <w:spacing w:after="0"/>
        <w:ind w:firstLine="696"/>
        <w:rPr>
          <w:rFonts w:ascii="Times New Roman" w:hAnsi="Times New Roman" w:cs="Times New Roman"/>
          <w:sz w:val="28"/>
          <w:szCs w:val="28"/>
        </w:rPr>
      </w:pPr>
      <w:r w:rsidRPr="00503273">
        <w:rPr>
          <w:rFonts w:ascii="Times New Roman" w:hAnsi="Times New Roman" w:cs="Times New Roman"/>
          <w:i/>
          <w:sz w:val="24"/>
          <w:szCs w:val="28"/>
        </w:rPr>
        <w:t>Rönesans döneminin başlamasında, 12. Yüzyıldan itibaren İtalya ve İspanya’da başlayan çeviri gruplarının etkisi olmuştur. Bu gruplar konuları tıp, astronomi, felsefe ve mantık olan eserleri kendi dillerine çevirmişlerdir</w:t>
      </w:r>
      <w:r w:rsidRPr="00187A2A">
        <w:rPr>
          <w:rFonts w:ascii="Times New Roman" w:hAnsi="Times New Roman" w:cs="Times New Roman"/>
          <w:sz w:val="28"/>
          <w:szCs w:val="28"/>
        </w:rPr>
        <w:t xml:space="preserve">. </w:t>
      </w:r>
    </w:p>
    <w:p w:rsidR="00F03F79" w:rsidRPr="00187A2A" w:rsidRDefault="00187A2A" w:rsidP="00187A2A">
      <w:pPr>
        <w:spacing w:after="0"/>
        <w:ind w:left="709" w:firstLine="707"/>
        <w:rPr>
          <w:rFonts w:ascii="Times New Roman" w:hAnsi="Times New Roman" w:cs="Times New Roman"/>
          <w:i/>
          <w:sz w:val="24"/>
          <w:szCs w:val="28"/>
        </w:rPr>
      </w:pPr>
      <w:r w:rsidRPr="00187A2A">
        <w:rPr>
          <w:rFonts w:ascii="Times New Roman" w:hAnsi="Times New Roman" w:cs="Times New Roman"/>
          <w:i/>
          <w:sz w:val="24"/>
          <w:szCs w:val="28"/>
        </w:rPr>
        <w:t xml:space="preserve"> Uzak-Doğu menşeli ilimleri yerinden öğrenen Müslümanlar, bu ilimlere katkılarda bulunarak Batı’ya aktardılar. Avrupa da bu aracılıktan geniş ölçüde faydalandı. Doğunun Batı üzerinde icra ettiği tesirleri, siyasi ve idari yapıdan edebiyata, şehircilikten yargı müessesesine, yaşam standardından âlimlere; sosyal hayata dair hemen her alanda görmek mümkündür.</w:t>
      </w:r>
    </w:p>
    <w:p w:rsidR="00F03F79" w:rsidRDefault="00F03F79" w:rsidP="00F03F79">
      <w:pPr>
        <w:spacing w:after="0"/>
        <w:ind w:left="709" w:hanging="709"/>
        <w:rPr>
          <w:rFonts w:ascii="Times New Roman" w:hAnsi="Times New Roman" w:cs="Times New Roman"/>
          <w:sz w:val="28"/>
          <w:szCs w:val="28"/>
        </w:rPr>
      </w:pPr>
    </w:p>
    <w:p w:rsidR="00F03F79" w:rsidRDefault="00F03F79" w:rsidP="00F03F79">
      <w:pPr>
        <w:spacing w:after="0"/>
        <w:ind w:left="709" w:hanging="709"/>
        <w:rPr>
          <w:rFonts w:ascii="Times New Roman" w:hAnsi="Times New Roman" w:cs="Times New Roman"/>
          <w:sz w:val="28"/>
          <w:szCs w:val="28"/>
        </w:rPr>
      </w:pPr>
    </w:p>
    <w:p w:rsidR="00503273" w:rsidRDefault="00503273" w:rsidP="00F03F79">
      <w:pPr>
        <w:spacing w:after="0"/>
        <w:ind w:left="709" w:hanging="709"/>
        <w:rPr>
          <w:rFonts w:ascii="Times New Roman" w:hAnsi="Times New Roman" w:cs="Times New Roman"/>
          <w:sz w:val="28"/>
          <w:szCs w:val="28"/>
        </w:rPr>
      </w:pPr>
    </w:p>
    <w:p w:rsidR="00503273" w:rsidRDefault="00503273" w:rsidP="00F03F79">
      <w:pPr>
        <w:spacing w:after="0"/>
        <w:ind w:left="709" w:hanging="709"/>
        <w:rPr>
          <w:rFonts w:ascii="Times New Roman" w:hAnsi="Times New Roman" w:cs="Times New Roman"/>
          <w:sz w:val="28"/>
          <w:szCs w:val="28"/>
        </w:rPr>
      </w:pPr>
    </w:p>
    <w:p w:rsidR="00503273" w:rsidRDefault="00503273" w:rsidP="00F03F79">
      <w:pPr>
        <w:spacing w:after="0"/>
        <w:ind w:left="709" w:hanging="709"/>
        <w:rPr>
          <w:rFonts w:ascii="Times New Roman" w:hAnsi="Times New Roman" w:cs="Times New Roman"/>
          <w:sz w:val="28"/>
          <w:szCs w:val="28"/>
        </w:rPr>
      </w:pPr>
    </w:p>
    <w:p w:rsidR="00F03F79" w:rsidRPr="008E6B32" w:rsidRDefault="00F03F79" w:rsidP="00F03F79">
      <w:pPr>
        <w:spacing w:after="0"/>
        <w:ind w:left="709" w:hanging="709"/>
        <w:rPr>
          <w:rFonts w:ascii="Times New Roman" w:hAnsi="Times New Roman" w:cs="Times New Roman"/>
          <w:sz w:val="28"/>
          <w:szCs w:val="28"/>
        </w:rPr>
      </w:pPr>
    </w:p>
    <w:p w:rsidR="00F27302" w:rsidRPr="00F4717A" w:rsidRDefault="002A2222" w:rsidP="00F03F79">
      <w:pPr>
        <w:pStyle w:val="ListeParagraf"/>
        <w:numPr>
          <w:ilvl w:val="0"/>
          <w:numId w:val="3"/>
        </w:numPr>
        <w:spacing w:after="0"/>
        <w:rPr>
          <w:rFonts w:ascii="Times New Roman" w:hAnsi="Times New Roman" w:cs="Times New Roman"/>
          <w:b/>
          <w:sz w:val="28"/>
          <w:szCs w:val="28"/>
        </w:rPr>
      </w:pPr>
      <w:r w:rsidRPr="00F4717A">
        <w:rPr>
          <w:rFonts w:ascii="Times New Roman" w:hAnsi="Times New Roman" w:cs="Times New Roman"/>
          <w:b/>
          <w:sz w:val="28"/>
          <w:szCs w:val="28"/>
        </w:rPr>
        <w:t>11.3.2</w:t>
      </w:r>
      <w:r w:rsidR="00DB1EF8" w:rsidRPr="00F4717A">
        <w:rPr>
          <w:rFonts w:ascii="Times New Roman" w:hAnsi="Times New Roman" w:cs="Times New Roman"/>
          <w:b/>
          <w:sz w:val="28"/>
          <w:szCs w:val="28"/>
        </w:rPr>
        <w:t xml:space="preserve">. </w:t>
      </w:r>
      <w:r w:rsidRPr="00F4717A">
        <w:rPr>
          <w:rFonts w:ascii="Times New Roman" w:hAnsi="Times New Roman" w:cs="Times New Roman"/>
          <w:b/>
          <w:sz w:val="28"/>
          <w:szCs w:val="28"/>
        </w:rPr>
        <w:t xml:space="preserve">15.yy-17.yy . </w:t>
      </w:r>
      <w:r w:rsidR="00F03F79" w:rsidRPr="00F4717A">
        <w:rPr>
          <w:rFonts w:ascii="Times New Roman" w:hAnsi="Times New Roman" w:cs="Times New Roman"/>
          <w:b/>
          <w:sz w:val="28"/>
          <w:szCs w:val="28"/>
        </w:rPr>
        <w:t>Felsefesinin</w:t>
      </w:r>
      <w:r w:rsidRPr="00F4717A">
        <w:rPr>
          <w:rFonts w:ascii="Times New Roman" w:hAnsi="Times New Roman" w:cs="Times New Roman"/>
          <w:b/>
          <w:sz w:val="28"/>
          <w:szCs w:val="28"/>
        </w:rPr>
        <w:t xml:space="preserve"> karakteristik özeliklerini açıklar. (20 puan)</w:t>
      </w:r>
    </w:p>
    <w:p w:rsidR="00D71F33" w:rsidRPr="008E6B32" w:rsidRDefault="00D71F33" w:rsidP="00F03F79">
      <w:pPr>
        <w:spacing w:after="0"/>
        <w:ind w:left="709" w:hanging="709"/>
        <w:rPr>
          <w:rFonts w:ascii="Times New Roman" w:hAnsi="Times New Roman" w:cs="Times New Roman"/>
          <w:b/>
          <w:sz w:val="28"/>
          <w:szCs w:val="28"/>
        </w:rPr>
      </w:pPr>
    </w:p>
    <w:p w:rsidR="00F27302" w:rsidRDefault="00872447" w:rsidP="00F03F79">
      <w:pPr>
        <w:spacing w:after="0"/>
        <w:rPr>
          <w:rFonts w:ascii="Times New Roman" w:hAnsi="Times New Roman" w:cs="Times New Roman"/>
          <w:sz w:val="28"/>
          <w:szCs w:val="28"/>
        </w:rPr>
      </w:pPr>
      <w:r>
        <w:rPr>
          <w:rFonts w:ascii="Times New Roman" w:hAnsi="Times New Roman" w:cs="Times New Roman"/>
          <w:sz w:val="28"/>
          <w:szCs w:val="28"/>
        </w:rPr>
        <w:t>‘Okul felsefesi’ kelime anlamına sahip olan Skolastik felsefe, 2-15 yy sonlarına doğru Hristiyan felsefesi olarak temellendirilir. Modern düşünce, Rönesans dönemi ile başlayan 17. Yy sonlarına kadar süren düşünce sistemini kapsar.</w:t>
      </w:r>
    </w:p>
    <w:p w:rsidR="00872447" w:rsidRDefault="00872447" w:rsidP="00F03F79">
      <w:pPr>
        <w:spacing w:after="0"/>
        <w:rPr>
          <w:rFonts w:ascii="Times New Roman" w:hAnsi="Times New Roman" w:cs="Times New Roman"/>
          <w:sz w:val="28"/>
          <w:szCs w:val="28"/>
        </w:rPr>
      </w:pPr>
    </w:p>
    <w:p w:rsidR="00872447" w:rsidRPr="00872447" w:rsidRDefault="00872447" w:rsidP="00F03F79">
      <w:pPr>
        <w:spacing w:after="0"/>
        <w:ind w:firstLine="708"/>
        <w:rPr>
          <w:rFonts w:ascii="Times New Roman" w:hAnsi="Times New Roman" w:cs="Times New Roman"/>
          <w:b/>
          <w:sz w:val="28"/>
          <w:szCs w:val="28"/>
        </w:rPr>
      </w:pPr>
      <w:r w:rsidRPr="00872447">
        <w:rPr>
          <w:rFonts w:ascii="Times New Roman" w:hAnsi="Times New Roman" w:cs="Times New Roman"/>
          <w:b/>
          <w:sz w:val="28"/>
          <w:szCs w:val="28"/>
        </w:rPr>
        <w:t>Skolastik düşünce ve Modern düşünceyi</w:t>
      </w:r>
      <w:r>
        <w:rPr>
          <w:rFonts w:ascii="Times New Roman" w:hAnsi="Times New Roman" w:cs="Times New Roman"/>
          <w:b/>
          <w:sz w:val="28"/>
          <w:szCs w:val="28"/>
        </w:rPr>
        <w:t xml:space="preserve"> 4 madde olarak</w:t>
      </w:r>
      <w:r w:rsidRPr="00872447">
        <w:rPr>
          <w:rFonts w:ascii="Times New Roman" w:hAnsi="Times New Roman" w:cs="Times New Roman"/>
          <w:b/>
          <w:sz w:val="28"/>
          <w:szCs w:val="28"/>
        </w:rPr>
        <w:t xml:space="preserve"> karşılaştırınız.</w:t>
      </w:r>
    </w:p>
    <w:p w:rsidR="004D1482" w:rsidRDefault="004D1482" w:rsidP="00F03F79">
      <w:pPr>
        <w:spacing w:after="0"/>
        <w:rPr>
          <w:rFonts w:ascii="Times New Roman" w:hAnsi="Times New Roman" w:cs="Times New Roman"/>
          <w:sz w:val="28"/>
          <w:szCs w:val="28"/>
        </w:rPr>
      </w:pPr>
    </w:p>
    <w:tbl>
      <w:tblPr>
        <w:tblStyle w:val="TabloKlavuzu"/>
        <w:tblW w:w="10632" w:type="dxa"/>
        <w:tblLook w:val="04A0" w:firstRow="1" w:lastRow="0" w:firstColumn="1" w:lastColumn="0" w:noHBand="0" w:noVBand="1"/>
      </w:tblPr>
      <w:tblGrid>
        <w:gridCol w:w="5313"/>
        <w:gridCol w:w="5319"/>
      </w:tblGrid>
      <w:tr w:rsidR="00872447" w:rsidTr="00187A2A">
        <w:trPr>
          <w:trHeight w:val="740"/>
        </w:trPr>
        <w:tc>
          <w:tcPr>
            <w:tcW w:w="5313" w:type="dxa"/>
          </w:tcPr>
          <w:p w:rsidR="00872447" w:rsidRPr="00872447" w:rsidRDefault="00872447" w:rsidP="00F03F79">
            <w:pPr>
              <w:jc w:val="center"/>
              <w:rPr>
                <w:rFonts w:ascii="Times New Roman" w:hAnsi="Times New Roman" w:cs="Times New Roman"/>
                <w:b/>
                <w:sz w:val="28"/>
                <w:szCs w:val="28"/>
              </w:rPr>
            </w:pPr>
            <w:r w:rsidRPr="00872447">
              <w:rPr>
                <w:rFonts w:ascii="Times New Roman" w:hAnsi="Times New Roman" w:cs="Times New Roman"/>
                <w:b/>
                <w:sz w:val="28"/>
                <w:szCs w:val="28"/>
              </w:rPr>
              <w:t>SKOLASTİK DÜŞÜNCE</w:t>
            </w:r>
          </w:p>
          <w:p w:rsidR="00872447" w:rsidRPr="00872447" w:rsidRDefault="00872447" w:rsidP="00F03F79">
            <w:pPr>
              <w:jc w:val="center"/>
              <w:rPr>
                <w:rFonts w:ascii="Times New Roman" w:hAnsi="Times New Roman" w:cs="Times New Roman"/>
                <w:b/>
                <w:sz w:val="28"/>
                <w:szCs w:val="28"/>
              </w:rPr>
            </w:pPr>
            <w:r w:rsidRPr="00872447">
              <w:rPr>
                <w:rFonts w:ascii="Times New Roman" w:hAnsi="Times New Roman" w:cs="Times New Roman"/>
                <w:b/>
                <w:sz w:val="28"/>
                <w:szCs w:val="28"/>
              </w:rPr>
              <w:t>(MÖ2-MS15.YY)</w:t>
            </w:r>
          </w:p>
        </w:tc>
        <w:tc>
          <w:tcPr>
            <w:tcW w:w="5319" w:type="dxa"/>
          </w:tcPr>
          <w:p w:rsidR="00872447" w:rsidRPr="00872447" w:rsidRDefault="00872447" w:rsidP="00F03F79">
            <w:pPr>
              <w:jc w:val="center"/>
              <w:rPr>
                <w:rFonts w:ascii="Times New Roman" w:hAnsi="Times New Roman" w:cs="Times New Roman"/>
                <w:b/>
                <w:sz w:val="28"/>
                <w:szCs w:val="28"/>
              </w:rPr>
            </w:pPr>
            <w:r w:rsidRPr="00872447">
              <w:rPr>
                <w:rFonts w:ascii="Times New Roman" w:hAnsi="Times New Roman" w:cs="Times New Roman"/>
                <w:b/>
                <w:sz w:val="28"/>
                <w:szCs w:val="28"/>
              </w:rPr>
              <w:t>MODERN DÜŞÜNCE</w:t>
            </w:r>
          </w:p>
          <w:p w:rsidR="00872447" w:rsidRPr="00872447" w:rsidRDefault="00872447" w:rsidP="00F03F79">
            <w:pPr>
              <w:jc w:val="center"/>
              <w:rPr>
                <w:rFonts w:ascii="Times New Roman" w:hAnsi="Times New Roman" w:cs="Times New Roman"/>
                <w:b/>
                <w:sz w:val="28"/>
                <w:szCs w:val="28"/>
              </w:rPr>
            </w:pPr>
            <w:r w:rsidRPr="00872447">
              <w:rPr>
                <w:rFonts w:ascii="Times New Roman" w:hAnsi="Times New Roman" w:cs="Times New Roman"/>
                <w:b/>
                <w:sz w:val="28"/>
                <w:szCs w:val="28"/>
              </w:rPr>
              <w:t>(MÖ15-MS17.YY)</w:t>
            </w:r>
          </w:p>
        </w:tc>
      </w:tr>
      <w:tr w:rsidR="00872447" w:rsidTr="00187A2A">
        <w:trPr>
          <w:trHeight w:val="702"/>
        </w:trPr>
        <w:tc>
          <w:tcPr>
            <w:tcW w:w="5313" w:type="dxa"/>
          </w:tcPr>
          <w:p w:rsidR="00872447" w:rsidRDefault="00187A2A" w:rsidP="00187A2A">
            <w:pPr>
              <w:rPr>
                <w:rFonts w:ascii="Times New Roman" w:hAnsi="Times New Roman" w:cs="Times New Roman"/>
                <w:sz w:val="28"/>
                <w:szCs w:val="28"/>
              </w:rPr>
            </w:pPr>
            <w:r>
              <w:rPr>
                <w:rFonts w:ascii="Times New Roman" w:hAnsi="Times New Roman" w:cs="Times New Roman"/>
                <w:sz w:val="28"/>
                <w:szCs w:val="28"/>
              </w:rPr>
              <w:t>Felsefenin merkezinde Din ve inanç vardır.</w:t>
            </w:r>
          </w:p>
        </w:tc>
        <w:tc>
          <w:tcPr>
            <w:tcW w:w="5319" w:type="dxa"/>
          </w:tcPr>
          <w:p w:rsidR="00872447" w:rsidRDefault="00187A2A" w:rsidP="00F03F79">
            <w:pPr>
              <w:rPr>
                <w:rFonts w:ascii="Times New Roman" w:hAnsi="Times New Roman" w:cs="Times New Roman"/>
                <w:sz w:val="28"/>
                <w:szCs w:val="28"/>
              </w:rPr>
            </w:pPr>
            <w:r>
              <w:rPr>
                <w:rFonts w:ascii="Times New Roman" w:hAnsi="Times New Roman" w:cs="Times New Roman"/>
                <w:sz w:val="28"/>
                <w:szCs w:val="28"/>
              </w:rPr>
              <w:t>Felsefenin merkezinde insan, doğa ve evren vardır.</w:t>
            </w:r>
          </w:p>
        </w:tc>
      </w:tr>
      <w:tr w:rsidR="00872447" w:rsidTr="00187A2A">
        <w:trPr>
          <w:trHeight w:val="702"/>
        </w:trPr>
        <w:tc>
          <w:tcPr>
            <w:tcW w:w="5313" w:type="dxa"/>
          </w:tcPr>
          <w:p w:rsidR="00872447" w:rsidRDefault="00187A2A" w:rsidP="00F03F79">
            <w:pPr>
              <w:rPr>
                <w:rFonts w:ascii="Times New Roman" w:hAnsi="Times New Roman" w:cs="Times New Roman"/>
                <w:sz w:val="28"/>
                <w:szCs w:val="28"/>
              </w:rPr>
            </w:pPr>
            <w:r>
              <w:rPr>
                <w:rFonts w:ascii="Times New Roman" w:hAnsi="Times New Roman" w:cs="Times New Roman"/>
                <w:sz w:val="28"/>
                <w:szCs w:val="28"/>
              </w:rPr>
              <w:t>Dogmatiktir, şüpheye yer yoktur.</w:t>
            </w:r>
          </w:p>
        </w:tc>
        <w:tc>
          <w:tcPr>
            <w:tcW w:w="5319" w:type="dxa"/>
          </w:tcPr>
          <w:p w:rsidR="00872447" w:rsidRDefault="00187A2A" w:rsidP="00F03F79">
            <w:pPr>
              <w:rPr>
                <w:rFonts w:ascii="Times New Roman" w:hAnsi="Times New Roman" w:cs="Times New Roman"/>
                <w:sz w:val="28"/>
                <w:szCs w:val="28"/>
              </w:rPr>
            </w:pPr>
            <w:r>
              <w:rPr>
                <w:rFonts w:ascii="Times New Roman" w:hAnsi="Times New Roman" w:cs="Times New Roman"/>
                <w:sz w:val="28"/>
                <w:szCs w:val="28"/>
              </w:rPr>
              <w:t>Sorgulamak ve eleştirmek önemlidir.</w:t>
            </w:r>
          </w:p>
        </w:tc>
      </w:tr>
      <w:tr w:rsidR="00872447" w:rsidTr="00187A2A">
        <w:trPr>
          <w:trHeight w:val="702"/>
        </w:trPr>
        <w:tc>
          <w:tcPr>
            <w:tcW w:w="5313" w:type="dxa"/>
          </w:tcPr>
          <w:p w:rsidR="00872447" w:rsidRDefault="00187A2A" w:rsidP="00F03F79">
            <w:pPr>
              <w:rPr>
                <w:rFonts w:ascii="Times New Roman" w:hAnsi="Times New Roman" w:cs="Times New Roman"/>
                <w:sz w:val="28"/>
                <w:szCs w:val="28"/>
              </w:rPr>
            </w:pPr>
            <w:r>
              <w:rPr>
                <w:rFonts w:ascii="Times New Roman" w:hAnsi="Times New Roman" w:cs="Times New Roman"/>
                <w:sz w:val="28"/>
                <w:szCs w:val="28"/>
              </w:rPr>
              <w:t xml:space="preserve">Hukuk ve eğitim kilisenin kontrolündedir. </w:t>
            </w:r>
          </w:p>
        </w:tc>
        <w:tc>
          <w:tcPr>
            <w:tcW w:w="5319" w:type="dxa"/>
          </w:tcPr>
          <w:p w:rsidR="00872447" w:rsidRDefault="00187A2A" w:rsidP="00F03F79">
            <w:pPr>
              <w:rPr>
                <w:rFonts w:ascii="Times New Roman" w:hAnsi="Times New Roman" w:cs="Times New Roman"/>
                <w:sz w:val="28"/>
                <w:szCs w:val="28"/>
              </w:rPr>
            </w:pPr>
            <w:r>
              <w:rPr>
                <w:rFonts w:ascii="Times New Roman" w:hAnsi="Times New Roman" w:cs="Times New Roman"/>
                <w:sz w:val="28"/>
                <w:szCs w:val="28"/>
              </w:rPr>
              <w:t xml:space="preserve">Hukuk ve eğitim devlet kontrolündedir. </w:t>
            </w:r>
          </w:p>
        </w:tc>
      </w:tr>
      <w:tr w:rsidR="00872447" w:rsidTr="00187A2A">
        <w:trPr>
          <w:trHeight w:val="702"/>
        </w:trPr>
        <w:tc>
          <w:tcPr>
            <w:tcW w:w="5313" w:type="dxa"/>
          </w:tcPr>
          <w:p w:rsidR="00872447" w:rsidRDefault="00187A2A" w:rsidP="00F03F79">
            <w:pPr>
              <w:rPr>
                <w:rFonts w:ascii="Times New Roman" w:hAnsi="Times New Roman" w:cs="Times New Roman"/>
                <w:sz w:val="28"/>
                <w:szCs w:val="28"/>
              </w:rPr>
            </w:pPr>
            <w:r>
              <w:rPr>
                <w:rFonts w:ascii="Times New Roman" w:hAnsi="Times New Roman" w:cs="Times New Roman"/>
                <w:sz w:val="28"/>
                <w:szCs w:val="28"/>
              </w:rPr>
              <w:t>Doğa din ve akıl ile açıklanmaya çalışılır.</w:t>
            </w:r>
          </w:p>
        </w:tc>
        <w:tc>
          <w:tcPr>
            <w:tcW w:w="5319" w:type="dxa"/>
          </w:tcPr>
          <w:p w:rsidR="00872447" w:rsidRDefault="00187A2A" w:rsidP="00F03F79">
            <w:pPr>
              <w:rPr>
                <w:rFonts w:ascii="Times New Roman" w:hAnsi="Times New Roman" w:cs="Times New Roman"/>
                <w:sz w:val="28"/>
                <w:szCs w:val="28"/>
              </w:rPr>
            </w:pPr>
            <w:r>
              <w:rPr>
                <w:rFonts w:ascii="Times New Roman" w:hAnsi="Times New Roman" w:cs="Times New Roman"/>
                <w:sz w:val="28"/>
                <w:szCs w:val="28"/>
              </w:rPr>
              <w:t>Doğa deney ve akıl ile açıklanmaya çalışılır.</w:t>
            </w:r>
          </w:p>
        </w:tc>
      </w:tr>
    </w:tbl>
    <w:p w:rsidR="004D1482" w:rsidRDefault="004D1482" w:rsidP="00F03F79">
      <w:pPr>
        <w:spacing w:after="0"/>
        <w:rPr>
          <w:rFonts w:ascii="Times New Roman" w:hAnsi="Times New Roman" w:cs="Times New Roman"/>
          <w:sz w:val="28"/>
          <w:szCs w:val="28"/>
        </w:rPr>
      </w:pPr>
    </w:p>
    <w:p w:rsidR="004D1482" w:rsidRDefault="004D1482" w:rsidP="00F03F79">
      <w:pPr>
        <w:spacing w:after="0"/>
        <w:rPr>
          <w:rFonts w:ascii="Times New Roman" w:hAnsi="Times New Roman" w:cs="Times New Roman"/>
          <w:sz w:val="28"/>
          <w:szCs w:val="28"/>
        </w:rPr>
      </w:pPr>
    </w:p>
    <w:p w:rsidR="00503273" w:rsidRDefault="00503273" w:rsidP="00F03F79">
      <w:pPr>
        <w:spacing w:after="0"/>
        <w:rPr>
          <w:rFonts w:ascii="Times New Roman" w:hAnsi="Times New Roman" w:cs="Times New Roman"/>
          <w:sz w:val="28"/>
          <w:szCs w:val="28"/>
        </w:rPr>
      </w:pPr>
    </w:p>
    <w:p w:rsidR="00503273" w:rsidRDefault="00503273" w:rsidP="00F03F79">
      <w:pPr>
        <w:spacing w:after="0"/>
        <w:rPr>
          <w:rFonts w:ascii="Times New Roman" w:hAnsi="Times New Roman" w:cs="Times New Roman"/>
          <w:sz w:val="28"/>
          <w:szCs w:val="28"/>
        </w:rPr>
      </w:pPr>
    </w:p>
    <w:p w:rsidR="00503273" w:rsidRPr="008E6B32" w:rsidRDefault="00503273" w:rsidP="00F03F79">
      <w:pPr>
        <w:spacing w:after="0"/>
        <w:rPr>
          <w:rFonts w:ascii="Times New Roman" w:hAnsi="Times New Roman" w:cs="Times New Roman"/>
          <w:sz w:val="28"/>
          <w:szCs w:val="28"/>
        </w:rPr>
      </w:pPr>
    </w:p>
    <w:p w:rsidR="00F27302" w:rsidRPr="00F4717A" w:rsidRDefault="002A2222" w:rsidP="00F03F79">
      <w:pPr>
        <w:pStyle w:val="ListeParagraf"/>
        <w:numPr>
          <w:ilvl w:val="0"/>
          <w:numId w:val="3"/>
        </w:numPr>
        <w:spacing w:after="0"/>
        <w:rPr>
          <w:rFonts w:ascii="Times New Roman" w:hAnsi="Times New Roman" w:cs="Times New Roman"/>
          <w:sz w:val="28"/>
          <w:szCs w:val="28"/>
        </w:rPr>
      </w:pPr>
      <w:r w:rsidRPr="00F4717A">
        <w:rPr>
          <w:rFonts w:ascii="Times New Roman" w:hAnsi="Times New Roman" w:cs="Times New Roman"/>
          <w:b/>
          <w:sz w:val="28"/>
          <w:szCs w:val="28"/>
        </w:rPr>
        <w:t>11.3.3</w:t>
      </w:r>
      <w:r w:rsidR="00F27302" w:rsidRPr="00F4717A">
        <w:rPr>
          <w:rFonts w:ascii="Times New Roman" w:hAnsi="Times New Roman" w:cs="Times New Roman"/>
          <w:b/>
          <w:sz w:val="28"/>
          <w:szCs w:val="28"/>
        </w:rPr>
        <w:t xml:space="preserve">. </w:t>
      </w:r>
      <w:r w:rsidRPr="00F4717A">
        <w:rPr>
          <w:rFonts w:ascii="Times New Roman" w:hAnsi="Times New Roman" w:cs="Times New Roman"/>
          <w:b/>
          <w:sz w:val="28"/>
          <w:szCs w:val="28"/>
        </w:rPr>
        <w:t>Örnek felsefi metinlerden hareketle 15.yy-17.yy filozoflarının felsefi görüşlerini analiz eder. (20 puan)</w:t>
      </w:r>
    </w:p>
    <w:p w:rsidR="005463C1" w:rsidRDefault="005463C1" w:rsidP="00F03F79">
      <w:pPr>
        <w:spacing w:after="0"/>
        <w:ind w:left="709" w:hanging="709"/>
        <w:rPr>
          <w:rFonts w:ascii="Times New Roman" w:hAnsi="Times New Roman" w:cs="Times New Roman"/>
          <w:b/>
          <w:sz w:val="28"/>
          <w:szCs w:val="28"/>
        </w:rPr>
      </w:pPr>
    </w:p>
    <w:p w:rsidR="00F03F79" w:rsidRPr="00E97B75" w:rsidRDefault="00F03F79" w:rsidP="00F03F79">
      <w:pPr>
        <w:spacing w:after="0"/>
        <w:rPr>
          <w:rFonts w:ascii="Times New Roman" w:hAnsi="Times New Roman" w:cs="Times New Roman"/>
          <w:sz w:val="28"/>
          <w:szCs w:val="28"/>
        </w:rPr>
      </w:pPr>
      <w:r w:rsidRPr="00E97B75">
        <w:rPr>
          <w:rFonts w:ascii="Times New Roman" w:hAnsi="Times New Roman" w:cs="Times New Roman"/>
          <w:sz w:val="28"/>
          <w:szCs w:val="28"/>
        </w:rPr>
        <w:t>Descartes, metodik şüphe yolunu kullanarak oluşturduğu varlık anlayışını “Düşünüyorum, o halde varım.” Sözüyle açıklar. Ona göre şüphe kesin bi</w:t>
      </w:r>
      <w:r w:rsidR="00E97B75">
        <w:rPr>
          <w:rFonts w:ascii="Times New Roman" w:hAnsi="Times New Roman" w:cs="Times New Roman"/>
          <w:sz w:val="28"/>
          <w:szCs w:val="28"/>
        </w:rPr>
        <w:t>l</w:t>
      </w:r>
      <w:r w:rsidRPr="00E97B75">
        <w:rPr>
          <w:rFonts w:ascii="Times New Roman" w:hAnsi="Times New Roman" w:cs="Times New Roman"/>
          <w:sz w:val="28"/>
          <w:szCs w:val="28"/>
        </w:rPr>
        <w:t>giye ulaşmada bir araçtır.</w:t>
      </w:r>
    </w:p>
    <w:p w:rsidR="00F03F79" w:rsidRDefault="00F03F79" w:rsidP="00F03F79">
      <w:pPr>
        <w:spacing w:after="0"/>
        <w:ind w:left="709" w:hanging="1"/>
        <w:rPr>
          <w:rFonts w:ascii="Times New Roman" w:hAnsi="Times New Roman" w:cs="Times New Roman"/>
          <w:b/>
          <w:sz w:val="28"/>
          <w:szCs w:val="28"/>
        </w:rPr>
      </w:pPr>
      <w:r>
        <w:rPr>
          <w:rFonts w:ascii="Times New Roman" w:hAnsi="Times New Roman" w:cs="Times New Roman"/>
          <w:b/>
          <w:sz w:val="28"/>
          <w:szCs w:val="28"/>
        </w:rPr>
        <w:t>Descartes’ın Metodik Şüphe yöntemini açıklayınız.</w:t>
      </w:r>
      <w:r w:rsidR="00073302">
        <w:rPr>
          <w:rFonts w:ascii="Times New Roman" w:hAnsi="Times New Roman" w:cs="Times New Roman"/>
          <w:b/>
          <w:sz w:val="28"/>
          <w:szCs w:val="28"/>
        </w:rPr>
        <w:t xml:space="preserve"> (arka sayfaya geçiniz!)</w:t>
      </w:r>
    </w:p>
    <w:p w:rsidR="00377365" w:rsidRDefault="00377365" w:rsidP="00377365">
      <w:pPr>
        <w:spacing w:after="0"/>
        <w:ind w:firstLine="708"/>
        <w:rPr>
          <w:rFonts w:ascii="Times New Roman" w:hAnsi="Times New Roman" w:cs="Times New Roman"/>
          <w:i/>
          <w:color w:val="000000"/>
          <w:sz w:val="24"/>
          <w:shd w:val="clear" w:color="auto" w:fill="FFFFFF"/>
        </w:rPr>
      </w:pPr>
    </w:p>
    <w:p w:rsidR="00F03F79" w:rsidRPr="00377365" w:rsidRDefault="00377365" w:rsidP="00377365">
      <w:pPr>
        <w:spacing w:after="0"/>
        <w:ind w:firstLine="708"/>
        <w:rPr>
          <w:rFonts w:ascii="Times New Roman" w:hAnsi="Times New Roman" w:cs="Times New Roman"/>
          <w:i/>
          <w:color w:val="000000"/>
          <w:sz w:val="24"/>
          <w:szCs w:val="24"/>
          <w:shd w:val="clear" w:color="auto" w:fill="FFFFFF"/>
        </w:rPr>
      </w:pPr>
      <w:r w:rsidRPr="00377365">
        <w:rPr>
          <w:rFonts w:ascii="Times New Roman" w:hAnsi="Times New Roman" w:cs="Times New Roman"/>
          <w:i/>
          <w:color w:val="000000"/>
          <w:sz w:val="24"/>
          <w:szCs w:val="24"/>
          <w:shd w:val="clear" w:color="auto" w:fill="FFFFFF"/>
        </w:rPr>
        <w:t>Descartes’a göre şüphe, doğru bilgiye ulaşmak için bir araç olarak kullanılmalıdır. Ona göre </w:t>
      </w:r>
      <w:r w:rsidRPr="00377365">
        <w:rPr>
          <w:rStyle w:val="Gl"/>
          <w:rFonts w:ascii="Times New Roman" w:hAnsi="Times New Roman" w:cs="Times New Roman"/>
          <w:i/>
          <w:color w:val="000000"/>
          <w:sz w:val="24"/>
          <w:szCs w:val="24"/>
          <w:shd w:val="clear" w:color="auto" w:fill="FFFFFF"/>
        </w:rPr>
        <w:t>metodik şüphe</w:t>
      </w:r>
      <w:r w:rsidRPr="00377365">
        <w:rPr>
          <w:rFonts w:ascii="Times New Roman" w:hAnsi="Times New Roman" w:cs="Times New Roman"/>
          <w:i/>
          <w:color w:val="000000"/>
          <w:sz w:val="24"/>
          <w:szCs w:val="24"/>
          <w:shd w:val="clear" w:color="auto" w:fill="FFFFFF"/>
        </w:rPr>
        <w:t> bir amaç olarak şu şekilde uygulanmalıdır: Her şeyden şüphe edilmelidir; ta ki kendisinde şüphe edilmeyecek bir gerçekliğe ulaşana dek</w:t>
      </w:r>
      <w:r w:rsidRPr="00377365">
        <w:rPr>
          <w:rFonts w:ascii="Times New Roman" w:hAnsi="Times New Roman" w:cs="Times New Roman"/>
          <w:i/>
          <w:color w:val="000000"/>
          <w:sz w:val="24"/>
          <w:szCs w:val="24"/>
          <w:shd w:val="clear" w:color="auto" w:fill="FFFFFF"/>
        </w:rPr>
        <w:t xml:space="preserve"> devam eder sonra şüpheden vazgeçer.</w:t>
      </w:r>
    </w:p>
    <w:p w:rsidR="00377365" w:rsidRPr="00377365" w:rsidRDefault="00377365" w:rsidP="00377365">
      <w:pPr>
        <w:spacing w:after="0"/>
        <w:ind w:firstLine="708"/>
        <w:rPr>
          <w:rFonts w:ascii="Times New Roman" w:hAnsi="Times New Roman" w:cs="Times New Roman"/>
          <w:b/>
          <w:i/>
          <w:sz w:val="24"/>
          <w:szCs w:val="24"/>
        </w:rPr>
      </w:pPr>
      <w:r w:rsidRPr="00377365">
        <w:rPr>
          <w:rStyle w:val="Gl"/>
          <w:rFonts w:ascii="Times New Roman" w:hAnsi="Times New Roman" w:cs="Times New Roman"/>
          <w:i/>
          <w:color w:val="000000"/>
          <w:sz w:val="24"/>
          <w:szCs w:val="24"/>
          <w:shd w:val="clear" w:color="auto" w:fill="FFFFFF"/>
        </w:rPr>
        <w:t>Metodik şüphe</w:t>
      </w:r>
      <w:r w:rsidRPr="00377365">
        <w:rPr>
          <w:rFonts w:ascii="Times New Roman" w:hAnsi="Times New Roman" w:cs="Times New Roman"/>
          <w:i/>
          <w:color w:val="000000"/>
          <w:sz w:val="24"/>
          <w:szCs w:val="24"/>
          <w:shd w:val="clear" w:color="auto" w:fill="FFFFFF"/>
        </w:rPr>
        <w:t xml:space="preserve">, gelip geçicidir. </w:t>
      </w:r>
      <w:r w:rsidRPr="00377365">
        <w:rPr>
          <w:rFonts w:ascii="Times New Roman" w:hAnsi="Times New Roman" w:cs="Times New Roman"/>
          <w:i/>
          <w:color w:val="000000"/>
          <w:sz w:val="24"/>
          <w:szCs w:val="24"/>
          <w:shd w:val="clear" w:color="auto" w:fill="FFFFFF"/>
        </w:rPr>
        <w:t>Descartes, düşündüğü ve şüphe ettiği olgusu dışında her şeyden şüphe edebileceğini fark ettiğinde bu şüphe sona erer. Bu kendisinden şüphe edilmesi mümkün olmayan “Düşünüyorum, o halde varım” doğrusu, k</w:t>
      </w:r>
      <w:r w:rsidRPr="00377365">
        <w:rPr>
          <w:rFonts w:ascii="Times New Roman" w:hAnsi="Times New Roman" w:cs="Times New Roman"/>
          <w:i/>
          <w:color w:val="000000"/>
          <w:sz w:val="24"/>
          <w:szCs w:val="24"/>
          <w:shd w:val="clear" w:color="auto" w:fill="FFFFFF"/>
        </w:rPr>
        <w:t>endisinden birçok başka doğrunun ortaya çıkmasını doğurur</w:t>
      </w:r>
      <w:r w:rsidRPr="00377365">
        <w:rPr>
          <w:rFonts w:ascii="Times New Roman" w:hAnsi="Times New Roman" w:cs="Times New Roman"/>
          <w:i/>
          <w:color w:val="000000"/>
          <w:sz w:val="24"/>
          <w:szCs w:val="24"/>
          <w:shd w:val="clear" w:color="auto" w:fill="FFFFFF"/>
        </w:rPr>
        <w:t>.</w:t>
      </w:r>
    </w:p>
    <w:p w:rsidR="00F03F79" w:rsidRDefault="00F03F79" w:rsidP="00F03F79">
      <w:pPr>
        <w:spacing w:after="0"/>
        <w:ind w:left="709" w:hanging="709"/>
        <w:rPr>
          <w:rFonts w:ascii="Times New Roman" w:hAnsi="Times New Roman" w:cs="Times New Roman"/>
          <w:b/>
          <w:sz w:val="28"/>
          <w:szCs w:val="28"/>
        </w:rPr>
      </w:pPr>
    </w:p>
    <w:p w:rsidR="00F03F79" w:rsidRDefault="00F03F79" w:rsidP="00F03F79">
      <w:pPr>
        <w:spacing w:after="0"/>
        <w:ind w:left="709" w:hanging="709"/>
        <w:rPr>
          <w:rFonts w:ascii="Times New Roman" w:hAnsi="Times New Roman" w:cs="Times New Roman"/>
          <w:b/>
          <w:sz w:val="28"/>
          <w:szCs w:val="28"/>
        </w:rPr>
      </w:pPr>
    </w:p>
    <w:p w:rsidR="00DB1EF8" w:rsidRPr="00F4717A" w:rsidRDefault="002A2222" w:rsidP="00F03F79">
      <w:pPr>
        <w:pStyle w:val="ListeParagraf"/>
        <w:numPr>
          <w:ilvl w:val="0"/>
          <w:numId w:val="3"/>
        </w:numPr>
        <w:spacing w:after="0"/>
        <w:rPr>
          <w:rFonts w:ascii="Times New Roman" w:hAnsi="Times New Roman" w:cs="Times New Roman"/>
          <w:b/>
          <w:sz w:val="28"/>
          <w:szCs w:val="28"/>
        </w:rPr>
      </w:pPr>
      <w:r w:rsidRPr="00F4717A">
        <w:rPr>
          <w:rFonts w:ascii="Times New Roman" w:hAnsi="Times New Roman" w:cs="Times New Roman"/>
          <w:b/>
          <w:sz w:val="28"/>
          <w:szCs w:val="28"/>
        </w:rPr>
        <w:t>11.3</w:t>
      </w:r>
      <w:r w:rsidR="00DB1EF8" w:rsidRPr="00F4717A">
        <w:rPr>
          <w:rFonts w:ascii="Times New Roman" w:hAnsi="Times New Roman" w:cs="Times New Roman"/>
          <w:b/>
          <w:sz w:val="28"/>
          <w:szCs w:val="28"/>
        </w:rPr>
        <w:t>.3</w:t>
      </w:r>
      <w:r w:rsidR="00F27302" w:rsidRPr="00F4717A">
        <w:rPr>
          <w:rFonts w:ascii="Times New Roman" w:hAnsi="Times New Roman" w:cs="Times New Roman"/>
          <w:b/>
          <w:sz w:val="28"/>
          <w:szCs w:val="28"/>
        </w:rPr>
        <w:t xml:space="preserve">. </w:t>
      </w:r>
      <w:r w:rsidRPr="00F4717A">
        <w:rPr>
          <w:rFonts w:ascii="Times New Roman" w:hAnsi="Times New Roman" w:cs="Times New Roman"/>
          <w:b/>
          <w:sz w:val="28"/>
          <w:szCs w:val="28"/>
        </w:rPr>
        <w:t>Örnek felsefi metinlerden hareketle 15.yy-17.yy filozoflarının felsefi görüşlerini analiz eder. (20 puan)</w:t>
      </w:r>
    </w:p>
    <w:p w:rsidR="00F27302" w:rsidRPr="008E6B32" w:rsidRDefault="00F27302" w:rsidP="00F03F79">
      <w:pPr>
        <w:pStyle w:val="ListeParagraf"/>
        <w:spacing w:after="0"/>
        <w:ind w:left="709" w:hanging="709"/>
        <w:rPr>
          <w:rFonts w:ascii="Times New Roman" w:hAnsi="Times New Roman" w:cs="Times New Roman"/>
          <w:sz w:val="28"/>
          <w:szCs w:val="28"/>
        </w:rPr>
      </w:pPr>
    </w:p>
    <w:p w:rsidR="008E6B32" w:rsidRDefault="00E97B75" w:rsidP="00E97B75">
      <w:pPr>
        <w:spacing w:after="0"/>
        <w:ind w:left="720"/>
        <w:rPr>
          <w:rFonts w:ascii="Times New Roman" w:hAnsi="Times New Roman" w:cs="Times New Roman"/>
          <w:sz w:val="28"/>
          <w:szCs w:val="28"/>
        </w:rPr>
      </w:pPr>
      <w:r>
        <w:rPr>
          <w:rFonts w:ascii="Times New Roman" w:hAnsi="Times New Roman" w:cs="Times New Roman"/>
          <w:sz w:val="28"/>
          <w:szCs w:val="28"/>
        </w:rPr>
        <w:t>Rönesans düşünürü Thomas Hobbes, Leviathan kitabında “İnsan, insanın kurdudur.” der. Ona göre insan özü gereği bencildir ve bu durum çıkar çatışması yaşanmasına sebep olur.</w:t>
      </w:r>
    </w:p>
    <w:p w:rsidR="00E97B75" w:rsidRDefault="00E97B75" w:rsidP="00E97B75">
      <w:pPr>
        <w:spacing w:after="0"/>
        <w:ind w:left="720"/>
        <w:rPr>
          <w:rFonts w:ascii="Times New Roman" w:hAnsi="Times New Roman" w:cs="Times New Roman"/>
          <w:sz w:val="28"/>
          <w:szCs w:val="28"/>
        </w:rPr>
      </w:pPr>
    </w:p>
    <w:p w:rsidR="00E97B75" w:rsidRDefault="00E97B75" w:rsidP="00E97B75">
      <w:pPr>
        <w:spacing w:after="0"/>
        <w:ind w:left="720"/>
        <w:rPr>
          <w:rFonts w:ascii="Times New Roman" w:hAnsi="Times New Roman" w:cs="Times New Roman"/>
          <w:b/>
          <w:sz w:val="28"/>
          <w:szCs w:val="28"/>
        </w:rPr>
      </w:pPr>
      <w:r w:rsidRPr="00E97B75">
        <w:rPr>
          <w:rFonts w:ascii="Times New Roman" w:hAnsi="Times New Roman" w:cs="Times New Roman"/>
          <w:b/>
          <w:sz w:val="28"/>
          <w:szCs w:val="28"/>
        </w:rPr>
        <w:t>T. Hobbes, bu durumdan kurtulmanın yolu olarak Toplumsal Sözleşme kavramını ortaya atmıştır. ‘Toplumsal Sözleşme’ ne demek? Açıklayınız.</w:t>
      </w:r>
    </w:p>
    <w:p w:rsidR="00377365" w:rsidRPr="00E43FAD" w:rsidRDefault="00377365" w:rsidP="00377365">
      <w:pPr>
        <w:spacing w:after="0"/>
        <w:ind w:left="720" w:firstLine="696"/>
        <w:rPr>
          <w:rFonts w:ascii="Times New Roman" w:hAnsi="Times New Roman" w:cs="Times New Roman"/>
          <w:i/>
          <w:color w:val="000000" w:themeColor="text1"/>
          <w:sz w:val="24"/>
          <w:szCs w:val="24"/>
        </w:rPr>
      </w:pPr>
      <w:r w:rsidRPr="00E43FAD">
        <w:rPr>
          <w:rFonts w:ascii="Times New Roman" w:hAnsi="Times New Roman" w:cs="Times New Roman"/>
          <w:bCs/>
          <w:i/>
          <w:color w:val="000000" w:themeColor="text1"/>
          <w:sz w:val="24"/>
          <w:szCs w:val="24"/>
          <w:shd w:val="clear" w:color="auto" w:fill="FFFFFF"/>
        </w:rPr>
        <w:t>Toplumsal sözleşme</w:t>
      </w:r>
      <w:bookmarkStart w:id="0" w:name="_GoBack"/>
      <w:bookmarkEnd w:id="0"/>
      <w:r w:rsidRPr="00E43FAD">
        <w:rPr>
          <w:rFonts w:ascii="Times New Roman" w:hAnsi="Times New Roman" w:cs="Times New Roman"/>
          <w:i/>
          <w:color w:val="000000" w:themeColor="text1"/>
          <w:sz w:val="24"/>
          <w:szCs w:val="24"/>
          <w:shd w:val="clear" w:color="auto" w:fill="FFFFFF"/>
        </w:rPr>
        <w:t>; bireylerin karşılıklı </w:t>
      </w:r>
      <w:hyperlink r:id="rId7" w:tooltip="Uzlaşma" w:history="1">
        <w:r w:rsidRPr="00E43FAD">
          <w:rPr>
            <w:rStyle w:val="Kpr"/>
            <w:rFonts w:ascii="Times New Roman" w:hAnsi="Times New Roman" w:cs="Times New Roman"/>
            <w:i/>
            <w:color w:val="000000" w:themeColor="text1"/>
            <w:sz w:val="24"/>
            <w:szCs w:val="24"/>
            <w:u w:val="none"/>
            <w:shd w:val="clear" w:color="auto" w:fill="FFFFFF"/>
          </w:rPr>
          <w:t>uzlaşma</w:t>
        </w:r>
      </w:hyperlink>
      <w:r w:rsidRPr="00E43FAD">
        <w:rPr>
          <w:rFonts w:ascii="Times New Roman" w:hAnsi="Times New Roman" w:cs="Times New Roman"/>
          <w:i/>
          <w:color w:val="000000" w:themeColor="text1"/>
          <w:sz w:val="24"/>
          <w:szCs w:val="24"/>
          <w:shd w:val="clear" w:color="auto" w:fill="FFFFFF"/>
        </w:rPr>
        <w:t>, bazı kurallara uymak üzerinde anlaşma ve birbirlerini şiddet, sahtekarlık veya dikkatsizlikten korumak için birleştirdiğini varsayan bir kavramdır. İnsanlar arasındaki kullanımı, insanların bir </w:t>
      </w:r>
      <w:hyperlink r:id="rId8" w:tooltip="Devlet" w:history="1">
        <w:r w:rsidRPr="00E43FAD">
          <w:rPr>
            <w:rStyle w:val="Kpr"/>
            <w:rFonts w:ascii="Times New Roman" w:hAnsi="Times New Roman" w:cs="Times New Roman"/>
            <w:i/>
            <w:color w:val="000000" w:themeColor="text1"/>
            <w:sz w:val="24"/>
            <w:szCs w:val="24"/>
            <w:u w:val="none"/>
            <w:shd w:val="clear" w:color="auto" w:fill="FFFFFF"/>
          </w:rPr>
          <w:t>devlete</w:t>
        </w:r>
      </w:hyperlink>
      <w:r w:rsidRPr="00E43FAD">
        <w:rPr>
          <w:rFonts w:ascii="Times New Roman" w:hAnsi="Times New Roman" w:cs="Times New Roman"/>
          <w:i/>
          <w:color w:val="000000" w:themeColor="text1"/>
          <w:sz w:val="24"/>
          <w:szCs w:val="24"/>
          <w:shd w:val="clear" w:color="auto" w:fill="FFFFFF"/>
        </w:rPr>
        <w:t> ya da </w:t>
      </w:r>
      <w:hyperlink r:id="rId9" w:tooltip="Otorite" w:history="1">
        <w:r w:rsidRPr="00E43FAD">
          <w:rPr>
            <w:rStyle w:val="Kpr"/>
            <w:rFonts w:ascii="Times New Roman" w:hAnsi="Times New Roman" w:cs="Times New Roman"/>
            <w:i/>
            <w:color w:val="000000" w:themeColor="text1"/>
            <w:sz w:val="24"/>
            <w:szCs w:val="24"/>
            <w:u w:val="none"/>
            <w:shd w:val="clear" w:color="auto" w:fill="FFFFFF"/>
          </w:rPr>
          <w:t>otoriteye</w:t>
        </w:r>
      </w:hyperlink>
      <w:r w:rsidRPr="00E43FAD">
        <w:rPr>
          <w:rFonts w:ascii="Times New Roman" w:hAnsi="Times New Roman" w:cs="Times New Roman"/>
          <w:i/>
          <w:color w:val="000000" w:themeColor="text1"/>
          <w:sz w:val="24"/>
          <w:szCs w:val="24"/>
          <w:shd w:val="clear" w:color="auto" w:fill="FFFFFF"/>
        </w:rPr>
        <w:t> bağımsızlıklarının bir kısmından </w:t>
      </w:r>
      <w:hyperlink r:id="rId10" w:tooltip="Hukukun üstünlüğü" w:history="1">
        <w:r w:rsidRPr="00E43FAD">
          <w:rPr>
            <w:rStyle w:val="Kpr"/>
            <w:rFonts w:ascii="Times New Roman" w:hAnsi="Times New Roman" w:cs="Times New Roman"/>
            <w:i/>
            <w:color w:val="000000" w:themeColor="text1"/>
            <w:sz w:val="24"/>
            <w:szCs w:val="24"/>
            <w:u w:val="none"/>
            <w:shd w:val="clear" w:color="auto" w:fill="FFFFFF"/>
          </w:rPr>
          <w:t>hukukun üstünlüğü</w:t>
        </w:r>
      </w:hyperlink>
      <w:r w:rsidRPr="00E43FAD">
        <w:rPr>
          <w:rFonts w:ascii="Times New Roman" w:hAnsi="Times New Roman" w:cs="Times New Roman"/>
          <w:i/>
          <w:color w:val="000000" w:themeColor="text1"/>
          <w:sz w:val="24"/>
          <w:szCs w:val="24"/>
          <w:shd w:val="clear" w:color="auto" w:fill="FFFFFF"/>
        </w:rPr>
        <w:t> anlayışı ile vazgeçmeleridir. Yönetilenler tarafından, bir takım bazı kurallar ile yönetilme üzerine anlaşma olarak da düşünülebilir.</w:t>
      </w:r>
    </w:p>
    <w:p w:rsidR="00F27302" w:rsidRPr="00E97B75" w:rsidRDefault="00F27302" w:rsidP="00F03F79">
      <w:pPr>
        <w:spacing w:after="0"/>
        <w:rPr>
          <w:rFonts w:ascii="Times New Roman" w:hAnsi="Times New Roman" w:cs="Times New Roman"/>
          <w:b/>
          <w:sz w:val="28"/>
          <w:szCs w:val="28"/>
        </w:rPr>
      </w:pPr>
    </w:p>
    <w:p w:rsidR="002A2222" w:rsidRPr="008E6B32" w:rsidRDefault="002A2222" w:rsidP="00F03F79">
      <w:pPr>
        <w:pStyle w:val="ListeParagraf"/>
        <w:numPr>
          <w:ilvl w:val="0"/>
          <w:numId w:val="3"/>
        </w:numPr>
        <w:spacing w:after="0"/>
        <w:rPr>
          <w:rFonts w:ascii="Times New Roman" w:hAnsi="Times New Roman" w:cs="Times New Roman"/>
          <w:b/>
          <w:sz w:val="28"/>
          <w:szCs w:val="28"/>
        </w:rPr>
      </w:pPr>
      <w:r>
        <w:rPr>
          <w:rFonts w:ascii="Times New Roman" w:hAnsi="Times New Roman" w:cs="Times New Roman"/>
          <w:b/>
          <w:sz w:val="28"/>
          <w:szCs w:val="28"/>
        </w:rPr>
        <w:t>11.4.1</w:t>
      </w:r>
      <w:r w:rsidR="00F27302" w:rsidRPr="008E6B32">
        <w:rPr>
          <w:rFonts w:ascii="Times New Roman" w:hAnsi="Times New Roman" w:cs="Times New Roman"/>
          <w:b/>
          <w:sz w:val="28"/>
          <w:szCs w:val="28"/>
        </w:rPr>
        <w:t>.</w:t>
      </w:r>
      <w:r w:rsidR="004D1482">
        <w:rPr>
          <w:rFonts w:ascii="Times New Roman" w:hAnsi="Times New Roman" w:cs="Times New Roman"/>
          <w:sz w:val="28"/>
          <w:szCs w:val="28"/>
        </w:rPr>
        <w:t xml:space="preserve">  </w:t>
      </w:r>
      <w:r>
        <w:rPr>
          <w:rFonts w:ascii="Times New Roman" w:hAnsi="Times New Roman" w:cs="Times New Roman"/>
          <w:b/>
          <w:sz w:val="28"/>
          <w:szCs w:val="28"/>
        </w:rPr>
        <w:t>15.yy-17.</w:t>
      </w:r>
      <w:r w:rsidR="00E97B75">
        <w:rPr>
          <w:rFonts w:ascii="Times New Roman" w:hAnsi="Times New Roman" w:cs="Times New Roman"/>
          <w:b/>
          <w:sz w:val="28"/>
          <w:szCs w:val="28"/>
        </w:rPr>
        <w:t>yy.</w:t>
      </w:r>
      <w:r w:rsidRPr="008E6B32">
        <w:rPr>
          <w:rFonts w:ascii="Times New Roman" w:hAnsi="Times New Roman" w:cs="Times New Roman"/>
          <w:b/>
          <w:sz w:val="28"/>
          <w:szCs w:val="28"/>
        </w:rPr>
        <w:t xml:space="preserve"> </w:t>
      </w:r>
      <w:r w:rsidR="00E97B75">
        <w:rPr>
          <w:rFonts w:ascii="Times New Roman" w:hAnsi="Times New Roman" w:cs="Times New Roman"/>
          <w:b/>
          <w:sz w:val="28"/>
          <w:szCs w:val="28"/>
        </w:rPr>
        <w:t>Felsefesini</w:t>
      </w:r>
      <w:r>
        <w:rPr>
          <w:rFonts w:ascii="Times New Roman" w:hAnsi="Times New Roman" w:cs="Times New Roman"/>
          <w:b/>
          <w:sz w:val="28"/>
          <w:szCs w:val="28"/>
        </w:rPr>
        <w:t xml:space="preserve"> hazırlayan düşünce ortamını açıklar.</w:t>
      </w:r>
      <w:r w:rsidRPr="008E6B32">
        <w:rPr>
          <w:rFonts w:ascii="Times New Roman" w:hAnsi="Times New Roman" w:cs="Times New Roman"/>
          <w:b/>
          <w:sz w:val="28"/>
          <w:szCs w:val="28"/>
        </w:rPr>
        <w:t xml:space="preserve"> (20 puan)</w:t>
      </w:r>
    </w:p>
    <w:p w:rsidR="00E97B75" w:rsidRDefault="00E97B75" w:rsidP="00F03F79">
      <w:pPr>
        <w:spacing w:after="0"/>
        <w:ind w:left="709" w:hanging="709"/>
        <w:rPr>
          <w:rFonts w:ascii="Times New Roman" w:hAnsi="Times New Roman" w:cs="Times New Roman"/>
          <w:sz w:val="28"/>
          <w:szCs w:val="28"/>
        </w:rPr>
      </w:pPr>
    </w:p>
    <w:p w:rsidR="00F03F79" w:rsidRDefault="00E97B75" w:rsidP="00E97B75">
      <w:pPr>
        <w:spacing w:after="0"/>
        <w:ind w:left="709"/>
        <w:rPr>
          <w:rFonts w:ascii="Times New Roman" w:hAnsi="Times New Roman" w:cs="Times New Roman"/>
          <w:sz w:val="28"/>
          <w:szCs w:val="28"/>
        </w:rPr>
      </w:pPr>
      <w:r>
        <w:rPr>
          <w:rFonts w:ascii="Times New Roman" w:hAnsi="Times New Roman" w:cs="Times New Roman"/>
          <w:sz w:val="28"/>
          <w:szCs w:val="28"/>
        </w:rPr>
        <w:t>Aydınlanma düşünürü Montesquıeu, devlet yönetiminde ‘Güçler Ayrılığı İlkesi’ni savunmuştur. Güçler ayrılığı ilkesi yasama, yürütme ve yargı güçlerinin birbirinden ayrı alanlar olarak devletin yönetilmesi esasına dayanır. Böylece üç güç tek bir elde toplanmayarak devletin baskıcı bir şekilde yönetilmesi engellenir.</w:t>
      </w:r>
    </w:p>
    <w:p w:rsidR="00073302" w:rsidRDefault="00073302" w:rsidP="00E97B75">
      <w:pPr>
        <w:spacing w:after="0"/>
        <w:ind w:left="709"/>
        <w:rPr>
          <w:rFonts w:ascii="Times New Roman" w:hAnsi="Times New Roman" w:cs="Times New Roman"/>
          <w:sz w:val="28"/>
          <w:szCs w:val="28"/>
        </w:rPr>
      </w:pPr>
    </w:p>
    <w:p w:rsidR="00E97B75" w:rsidRDefault="00E97B75" w:rsidP="00E97B75">
      <w:pPr>
        <w:spacing w:after="0"/>
        <w:ind w:left="709"/>
        <w:rPr>
          <w:rFonts w:ascii="Times New Roman" w:hAnsi="Times New Roman" w:cs="Times New Roman"/>
          <w:b/>
          <w:sz w:val="28"/>
          <w:szCs w:val="28"/>
        </w:rPr>
      </w:pPr>
      <w:r w:rsidRPr="00073302">
        <w:rPr>
          <w:rFonts w:ascii="Times New Roman" w:hAnsi="Times New Roman" w:cs="Times New Roman"/>
          <w:b/>
          <w:sz w:val="28"/>
          <w:szCs w:val="28"/>
        </w:rPr>
        <w:t>Montesquıeu’</w:t>
      </w:r>
      <w:r w:rsidR="00073302" w:rsidRPr="00073302">
        <w:rPr>
          <w:rFonts w:ascii="Times New Roman" w:hAnsi="Times New Roman" w:cs="Times New Roman"/>
          <w:b/>
          <w:sz w:val="28"/>
          <w:szCs w:val="28"/>
        </w:rPr>
        <w:t>nun ‘Güçler Ayrılığı İ</w:t>
      </w:r>
      <w:r w:rsidRPr="00073302">
        <w:rPr>
          <w:rFonts w:ascii="Times New Roman" w:hAnsi="Times New Roman" w:cs="Times New Roman"/>
          <w:b/>
          <w:sz w:val="28"/>
          <w:szCs w:val="28"/>
        </w:rPr>
        <w:t>lkesi</w:t>
      </w:r>
      <w:r w:rsidR="00073302" w:rsidRPr="00073302">
        <w:rPr>
          <w:rFonts w:ascii="Times New Roman" w:hAnsi="Times New Roman" w:cs="Times New Roman"/>
          <w:b/>
          <w:sz w:val="28"/>
          <w:szCs w:val="28"/>
        </w:rPr>
        <w:t>’</w:t>
      </w:r>
      <w:r w:rsidRPr="00073302">
        <w:rPr>
          <w:rFonts w:ascii="Times New Roman" w:hAnsi="Times New Roman" w:cs="Times New Roman"/>
          <w:b/>
          <w:sz w:val="28"/>
          <w:szCs w:val="28"/>
        </w:rPr>
        <w:t>nin neyi amaçladığını, Aydınlama fel</w:t>
      </w:r>
      <w:r w:rsidR="00073302" w:rsidRPr="00073302">
        <w:rPr>
          <w:rFonts w:ascii="Times New Roman" w:hAnsi="Times New Roman" w:cs="Times New Roman"/>
          <w:b/>
          <w:sz w:val="28"/>
          <w:szCs w:val="28"/>
        </w:rPr>
        <w:t>sefesinin temel düşüncesi olan ‘Eşitlik-Özgürlük-A</w:t>
      </w:r>
      <w:r w:rsidRPr="00073302">
        <w:rPr>
          <w:rFonts w:ascii="Times New Roman" w:hAnsi="Times New Roman" w:cs="Times New Roman"/>
          <w:b/>
          <w:sz w:val="28"/>
          <w:szCs w:val="28"/>
        </w:rPr>
        <w:t>dalet</w:t>
      </w:r>
      <w:r w:rsidR="00073302" w:rsidRPr="00073302">
        <w:rPr>
          <w:rFonts w:ascii="Times New Roman" w:hAnsi="Times New Roman" w:cs="Times New Roman"/>
          <w:b/>
          <w:sz w:val="28"/>
          <w:szCs w:val="28"/>
        </w:rPr>
        <w:t>’</w:t>
      </w:r>
      <w:r w:rsidRPr="00073302">
        <w:rPr>
          <w:rFonts w:ascii="Times New Roman" w:hAnsi="Times New Roman" w:cs="Times New Roman"/>
          <w:b/>
          <w:sz w:val="28"/>
          <w:szCs w:val="28"/>
        </w:rPr>
        <w:t xml:space="preserve"> düşüncesiyle ilişkilendirerek açıklayınız.</w:t>
      </w:r>
    </w:p>
    <w:p w:rsidR="00416B87" w:rsidRPr="004D1482" w:rsidRDefault="001713E8" w:rsidP="00503273">
      <w:pPr>
        <w:spacing w:after="0"/>
        <w:ind w:left="709" w:firstLine="707"/>
        <w:rPr>
          <w:rFonts w:ascii="Times New Roman" w:hAnsi="Times New Roman" w:cs="Times New Roman"/>
          <w:b/>
          <w:caps/>
        </w:rPr>
      </w:pPr>
      <w:r w:rsidRPr="001713E8">
        <w:rPr>
          <w:rFonts w:ascii="Times New Roman" w:hAnsi="Times New Roman" w:cs="Times New Roman"/>
          <w:i/>
          <w:sz w:val="24"/>
          <w:szCs w:val="28"/>
        </w:rPr>
        <w:t>Yasama kural koymak; genel, sürekli, objektif, kişisel olmayan işlemler yapabilmektir. Yargı; yasama ve yürütme organından 'bağımsız mahkemelerce görevlerin yerine getirilmesini ifade etmektedir. Yargıçların bağımsızlığı ise yasama ve yürütme organlarına bağlı olmadan Anayasaya ve hukuka uygun olarak vicdani kanılarına göre hüküm vermelerini amaçlar. Halk yasa karşısında eşit haklara sahip ve özgür olarak yaşar. Adil bir yargılamanın olduğu hukuk ile huzurlu olur.</w:t>
      </w:r>
    </w:p>
    <w:sectPr w:rsidR="00416B87" w:rsidRPr="004D1482" w:rsidSect="00503273">
      <w:pgSz w:w="11906" w:h="16838"/>
      <w:pgMar w:top="540" w:right="849" w:bottom="360" w:left="567" w:header="708" w:footer="3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1836" w:rsidRDefault="004C1836" w:rsidP="001713E8">
      <w:pPr>
        <w:spacing w:after="0" w:line="240" w:lineRule="auto"/>
      </w:pPr>
      <w:r>
        <w:separator/>
      </w:r>
    </w:p>
  </w:endnote>
  <w:endnote w:type="continuationSeparator" w:id="0">
    <w:p w:rsidR="004C1836" w:rsidRDefault="004C1836" w:rsidP="001713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1836" w:rsidRDefault="004C1836" w:rsidP="001713E8">
      <w:pPr>
        <w:spacing w:after="0" w:line="240" w:lineRule="auto"/>
      </w:pPr>
      <w:r>
        <w:separator/>
      </w:r>
    </w:p>
  </w:footnote>
  <w:footnote w:type="continuationSeparator" w:id="0">
    <w:p w:rsidR="004C1836" w:rsidRDefault="004C1836" w:rsidP="001713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DD33DF"/>
    <w:multiLevelType w:val="hybridMultilevel"/>
    <w:tmpl w:val="23FE1D86"/>
    <w:lvl w:ilvl="0" w:tplc="29CCECBA">
      <w:start w:val="1"/>
      <w:numFmt w:val="decimal"/>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1" w15:restartNumberingAfterBreak="0">
    <w:nsid w:val="32AE67D2"/>
    <w:multiLevelType w:val="hybridMultilevel"/>
    <w:tmpl w:val="BFEA2C0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74163AC5"/>
    <w:multiLevelType w:val="hybridMultilevel"/>
    <w:tmpl w:val="02F4C03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BAB"/>
    <w:rsid w:val="00073302"/>
    <w:rsid w:val="001713E8"/>
    <w:rsid w:val="00187A2A"/>
    <w:rsid w:val="002A2222"/>
    <w:rsid w:val="00377365"/>
    <w:rsid w:val="00416B87"/>
    <w:rsid w:val="004C1836"/>
    <w:rsid w:val="004D1482"/>
    <w:rsid w:val="00503273"/>
    <w:rsid w:val="005463C1"/>
    <w:rsid w:val="00641BAB"/>
    <w:rsid w:val="007901BC"/>
    <w:rsid w:val="007F4864"/>
    <w:rsid w:val="00872447"/>
    <w:rsid w:val="008E6B32"/>
    <w:rsid w:val="00B62110"/>
    <w:rsid w:val="00D4569E"/>
    <w:rsid w:val="00D71F33"/>
    <w:rsid w:val="00DB1EF8"/>
    <w:rsid w:val="00E43FAD"/>
    <w:rsid w:val="00E97B75"/>
    <w:rsid w:val="00F03F79"/>
    <w:rsid w:val="00F27302"/>
    <w:rsid w:val="00F4717A"/>
    <w:rsid w:val="00F72E4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7FCE86"/>
  <w15:chartTrackingRefBased/>
  <w15:docId w15:val="{0AC2525C-005C-489A-AC8F-3B39F9579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730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F27302"/>
    <w:pPr>
      <w:ind w:left="720"/>
      <w:contextualSpacing/>
    </w:pPr>
  </w:style>
  <w:style w:type="table" w:styleId="TabloKlavuzu">
    <w:name w:val="Table Grid"/>
    <w:basedOn w:val="NormalTablo"/>
    <w:uiPriority w:val="39"/>
    <w:rsid w:val="008724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l">
    <w:name w:val="Strong"/>
    <w:basedOn w:val="VarsaylanParagrafYazTipi"/>
    <w:uiPriority w:val="22"/>
    <w:qFormat/>
    <w:rsid w:val="00377365"/>
    <w:rPr>
      <w:b/>
      <w:bCs/>
    </w:rPr>
  </w:style>
  <w:style w:type="character" w:styleId="Kpr">
    <w:name w:val="Hyperlink"/>
    <w:basedOn w:val="VarsaylanParagrafYazTipi"/>
    <w:uiPriority w:val="99"/>
    <w:semiHidden/>
    <w:unhideWhenUsed/>
    <w:rsid w:val="00377365"/>
    <w:rPr>
      <w:color w:val="0000FF"/>
      <w:u w:val="single"/>
    </w:rPr>
  </w:style>
  <w:style w:type="paragraph" w:styleId="stBilgi">
    <w:name w:val="header"/>
    <w:basedOn w:val="Normal"/>
    <w:link w:val="stBilgiChar"/>
    <w:uiPriority w:val="99"/>
    <w:unhideWhenUsed/>
    <w:rsid w:val="001713E8"/>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1713E8"/>
  </w:style>
  <w:style w:type="paragraph" w:styleId="AltBilgi">
    <w:name w:val="footer"/>
    <w:basedOn w:val="Normal"/>
    <w:link w:val="AltBilgiChar"/>
    <w:uiPriority w:val="99"/>
    <w:unhideWhenUsed/>
    <w:rsid w:val="001713E8"/>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1713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3465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wikipedia.org/wiki/Devlet" TargetMode="External"/><Relationship Id="rId3" Type="http://schemas.openxmlformats.org/officeDocument/2006/relationships/settings" Target="settings.xml"/><Relationship Id="rId7" Type="http://schemas.openxmlformats.org/officeDocument/2006/relationships/hyperlink" Target="https://tr.wikipedia.org/wiki/Uzla%C5%9Fm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tr.wikipedia.org/wiki/Hukukun_%C3%BCst%C3%BCnl%C3%BC%C4%9F%C3%BC" TargetMode="External"/><Relationship Id="rId4" Type="http://schemas.openxmlformats.org/officeDocument/2006/relationships/webSettings" Target="webSettings.xml"/><Relationship Id="rId9" Type="http://schemas.openxmlformats.org/officeDocument/2006/relationships/hyperlink" Target="https://tr.wikipedia.org/wiki/Otorite"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330</TotalTime>
  <Pages>2</Pages>
  <Words>738</Words>
  <Characters>4211</Characters>
  <DocSecurity>0</DocSecurity>
  <Lines>35</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2023-12-16T10:03:00Z</dcterms:created>
  <dcterms:modified xsi:type="dcterms:W3CDTF">2024-03-17T22:54:00Z</dcterms:modified>
</cp:coreProperties>
</file>