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09A" w:rsidRPr="008E6B32" w:rsidRDefault="00AA409A" w:rsidP="00AA409A">
      <w:pPr>
        <w:spacing w:after="0"/>
        <w:ind w:left="709" w:hanging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Özel Rize Poyraz Okulları </w:t>
      </w:r>
    </w:p>
    <w:p w:rsidR="00F27302" w:rsidRPr="008E6B32" w:rsidRDefault="00F27302" w:rsidP="00F03F79">
      <w:pPr>
        <w:spacing w:after="0"/>
        <w:ind w:left="709" w:hanging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E6B32">
        <w:rPr>
          <w:rFonts w:ascii="Times New Roman" w:eastAsia="Calibri" w:hAnsi="Times New Roman" w:cs="Times New Roman"/>
          <w:b/>
          <w:bCs/>
          <w:sz w:val="28"/>
          <w:szCs w:val="28"/>
        </w:rPr>
        <w:t>2023-2024 Eğitim Öğretim Yılı</w:t>
      </w:r>
    </w:p>
    <w:p w:rsidR="00F27302" w:rsidRDefault="00F27302" w:rsidP="00F03F79">
      <w:pPr>
        <w:spacing w:after="0"/>
        <w:ind w:left="709" w:hanging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E6B3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11. Sınıf Felsefe Dersi </w:t>
      </w:r>
      <w:r w:rsidR="002A222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II. Dönem </w:t>
      </w:r>
      <w:r w:rsidRPr="008E6B32">
        <w:rPr>
          <w:rFonts w:ascii="Times New Roman" w:eastAsia="Calibri" w:hAnsi="Times New Roman" w:cs="Times New Roman"/>
          <w:b/>
          <w:bCs/>
          <w:sz w:val="28"/>
          <w:szCs w:val="28"/>
        </w:rPr>
        <w:t>I. Yazılı Sınavı</w:t>
      </w:r>
    </w:p>
    <w:p w:rsidR="004D1482" w:rsidRPr="008E6B32" w:rsidRDefault="004D1482" w:rsidP="00F03F79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3F79" w:rsidRPr="004D1482" w:rsidRDefault="007901BC" w:rsidP="00F03F79">
      <w:pPr>
        <w:tabs>
          <w:tab w:val="left" w:pos="-993"/>
          <w:tab w:val="left" w:pos="7770"/>
        </w:tabs>
        <w:ind w:left="709" w:hanging="709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E6B32">
        <w:rPr>
          <w:rFonts w:ascii="Times New Roman" w:eastAsia="Calibri" w:hAnsi="Times New Roman" w:cs="Times New Roman"/>
          <w:b/>
          <w:bCs/>
          <w:sz w:val="28"/>
          <w:szCs w:val="28"/>
        </w:rPr>
        <w:tab/>
        <w:t>Adı-Soyadı</w:t>
      </w:r>
      <w:r w:rsidR="008E6B3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Sınıfı                      </w:t>
      </w:r>
      <w:r w:rsidR="00F27302" w:rsidRPr="008E6B3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Tarih: </w:t>
      </w:r>
      <w:bookmarkStart w:id="0" w:name="_GoBack"/>
      <w:bookmarkEnd w:id="0"/>
    </w:p>
    <w:p w:rsidR="00F03F79" w:rsidRPr="00F03F79" w:rsidRDefault="00AA409A" w:rsidP="00AA409A">
      <w:pPr>
        <w:pStyle w:val="ListeParagraf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03F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3F79" w:rsidRPr="00F03F79">
        <w:rPr>
          <w:rFonts w:ascii="Times New Roman" w:hAnsi="Times New Roman" w:cs="Times New Roman"/>
          <w:b/>
          <w:sz w:val="28"/>
          <w:szCs w:val="28"/>
        </w:rPr>
        <w:t>Avrupa’da Rönesans döneminin başlamasında İslam coğrafyasının, doğunun rolünü açıklayınız.</w:t>
      </w:r>
    </w:p>
    <w:p w:rsidR="00F03F79" w:rsidRDefault="00F03F79" w:rsidP="00F03F79">
      <w:pPr>
        <w:spacing w:after="0"/>
        <w:ind w:left="709" w:hanging="709"/>
        <w:rPr>
          <w:rFonts w:ascii="Times New Roman" w:hAnsi="Times New Roman" w:cs="Times New Roman"/>
          <w:sz w:val="28"/>
          <w:szCs w:val="28"/>
        </w:rPr>
      </w:pPr>
    </w:p>
    <w:p w:rsidR="00F03F79" w:rsidRDefault="00F03F79" w:rsidP="00F03F79">
      <w:pPr>
        <w:spacing w:after="0"/>
        <w:ind w:left="709" w:hanging="709"/>
        <w:rPr>
          <w:rFonts w:ascii="Times New Roman" w:hAnsi="Times New Roman" w:cs="Times New Roman"/>
          <w:sz w:val="28"/>
          <w:szCs w:val="28"/>
        </w:rPr>
      </w:pPr>
    </w:p>
    <w:p w:rsidR="00AA409A" w:rsidRDefault="00AA409A" w:rsidP="00F03F79">
      <w:pPr>
        <w:spacing w:after="0"/>
        <w:ind w:left="709" w:hanging="709"/>
        <w:rPr>
          <w:rFonts w:ascii="Times New Roman" w:hAnsi="Times New Roman" w:cs="Times New Roman"/>
          <w:sz w:val="28"/>
          <w:szCs w:val="28"/>
        </w:rPr>
      </w:pPr>
    </w:p>
    <w:p w:rsidR="00AA409A" w:rsidRDefault="00AA409A" w:rsidP="00F03F79">
      <w:pPr>
        <w:spacing w:after="0"/>
        <w:ind w:left="709" w:hanging="709"/>
        <w:rPr>
          <w:rFonts w:ascii="Times New Roman" w:hAnsi="Times New Roman" w:cs="Times New Roman"/>
          <w:sz w:val="28"/>
          <w:szCs w:val="28"/>
        </w:rPr>
      </w:pPr>
    </w:p>
    <w:p w:rsidR="00AA409A" w:rsidRDefault="00AA409A" w:rsidP="00F03F79">
      <w:pPr>
        <w:spacing w:after="0"/>
        <w:ind w:left="709" w:hanging="709"/>
        <w:rPr>
          <w:rFonts w:ascii="Times New Roman" w:hAnsi="Times New Roman" w:cs="Times New Roman"/>
          <w:sz w:val="28"/>
          <w:szCs w:val="28"/>
        </w:rPr>
      </w:pPr>
    </w:p>
    <w:p w:rsidR="00F03F79" w:rsidRDefault="00F03F79" w:rsidP="00F03F79">
      <w:pPr>
        <w:spacing w:after="0"/>
        <w:ind w:left="709" w:hanging="709"/>
        <w:rPr>
          <w:rFonts w:ascii="Times New Roman" w:hAnsi="Times New Roman" w:cs="Times New Roman"/>
          <w:sz w:val="28"/>
          <w:szCs w:val="28"/>
        </w:rPr>
      </w:pPr>
    </w:p>
    <w:p w:rsidR="00F03F79" w:rsidRDefault="00F03F79" w:rsidP="00F03F79">
      <w:pPr>
        <w:spacing w:after="0"/>
        <w:ind w:left="709" w:hanging="709"/>
        <w:rPr>
          <w:rFonts w:ascii="Times New Roman" w:hAnsi="Times New Roman" w:cs="Times New Roman"/>
          <w:sz w:val="28"/>
          <w:szCs w:val="28"/>
        </w:rPr>
      </w:pPr>
    </w:p>
    <w:p w:rsidR="00F03F79" w:rsidRPr="008E6B32" w:rsidRDefault="00F03F79" w:rsidP="00F03F79">
      <w:pPr>
        <w:spacing w:after="0"/>
        <w:ind w:left="709" w:hanging="709"/>
        <w:rPr>
          <w:rFonts w:ascii="Times New Roman" w:hAnsi="Times New Roman" w:cs="Times New Roman"/>
          <w:sz w:val="28"/>
          <w:szCs w:val="28"/>
        </w:rPr>
      </w:pPr>
    </w:p>
    <w:p w:rsidR="00F27302" w:rsidRDefault="00AA409A" w:rsidP="00AA409A">
      <w:pPr>
        <w:pStyle w:val="ListeParagraf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2447">
        <w:rPr>
          <w:rFonts w:ascii="Times New Roman" w:hAnsi="Times New Roman" w:cs="Times New Roman"/>
          <w:sz w:val="28"/>
          <w:szCs w:val="28"/>
        </w:rPr>
        <w:t>‘Okul felsefesi’ kelime anlamına sahip olan Skolastik felsefe, 2-15 yy sonlarına doğru Hristiyan felsefesi olarak temellendirilir. Modern düşünce, Rönesans dönemi ile başlayan 17. Yy sonlarına kadar süren düşünce sistemini kapsar.</w:t>
      </w:r>
    </w:p>
    <w:p w:rsidR="00872447" w:rsidRDefault="00872447" w:rsidP="00F03F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2447" w:rsidRPr="00872447" w:rsidRDefault="00872447" w:rsidP="00F03F79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872447">
        <w:rPr>
          <w:rFonts w:ascii="Times New Roman" w:hAnsi="Times New Roman" w:cs="Times New Roman"/>
          <w:b/>
          <w:sz w:val="28"/>
          <w:szCs w:val="28"/>
        </w:rPr>
        <w:t>Skolastik düşünce ve Modern düşünceyi</w:t>
      </w:r>
      <w:r>
        <w:rPr>
          <w:rFonts w:ascii="Times New Roman" w:hAnsi="Times New Roman" w:cs="Times New Roman"/>
          <w:b/>
          <w:sz w:val="28"/>
          <w:szCs w:val="28"/>
        </w:rPr>
        <w:t xml:space="preserve"> 4 madde olarak</w:t>
      </w:r>
      <w:r w:rsidRPr="00872447">
        <w:rPr>
          <w:rFonts w:ascii="Times New Roman" w:hAnsi="Times New Roman" w:cs="Times New Roman"/>
          <w:b/>
          <w:sz w:val="28"/>
          <w:szCs w:val="28"/>
        </w:rPr>
        <w:t xml:space="preserve"> karşılaştırınız.</w:t>
      </w:r>
    </w:p>
    <w:p w:rsidR="004D1482" w:rsidRDefault="004D1482" w:rsidP="00F03F79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TabloKlavuzu"/>
        <w:tblW w:w="10558" w:type="dxa"/>
        <w:tblLook w:val="04A0" w:firstRow="1" w:lastRow="0" w:firstColumn="1" w:lastColumn="0" w:noHBand="0" w:noVBand="1"/>
      </w:tblPr>
      <w:tblGrid>
        <w:gridCol w:w="5276"/>
        <w:gridCol w:w="5282"/>
      </w:tblGrid>
      <w:tr w:rsidR="00872447" w:rsidTr="00073302">
        <w:trPr>
          <w:trHeight w:val="475"/>
        </w:trPr>
        <w:tc>
          <w:tcPr>
            <w:tcW w:w="5276" w:type="dxa"/>
          </w:tcPr>
          <w:p w:rsidR="00872447" w:rsidRPr="00872447" w:rsidRDefault="00872447" w:rsidP="00F03F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447">
              <w:rPr>
                <w:rFonts w:ascii="Times New Roman" w:hAnsi="Times New Roman" w:cs="Times New Roman"/>
                <w:b/>
                <w:sz w:val="28"/>
                <w:szCs w:val="28"/>
              </w:rPr>
              <w:t>SKOLASTİK DÜŞÜNCE</w:t>
            </w:r>
          </w:p>
          <w:p w:rsidR="00872447" w:rsidRPr="00872447" w:rsidRDefault="00872447" w:rsidP="00F03F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447">
              <w:rPr>
                <w:rFonts w:ascii="Times New Roman" w:hAnsi="Times New Roman" w:cs="Times New Roman"/>
                <w:b/>
                <w:sz w:val="28"/>
                <w:szCs w:val="28"/>
              </w:rPr>
              <w:t>(MÖ2-MS15.YY)</w:t>
            </w:r>
          </w:p>
        </w:tc>
        <w:tc>
          <w:tcPr>
            <w:tcW w:w="5282" w:type="dxa"/>
          </w:tcPr>
          <w:p w:rsidR="00872447" w:rsidRPr="00872447" w:rsidRDefault="00872447" w:rsidP="00F03F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447">
              <w:rPr>
                <w:rFonts w:ascii="Times New Roman" w:hAnsi="Times New Roman" w:cs="Times New Roman"/>
                <w:b/>
                <w:sz w:val="28"/>
                <w:szCs w:val="28"/>
              </w:rPr>
              <w:t>MODERN DÜŞÜNCE</w:t>
            </w:r>
          </w:p>
          <w:p w:rsidR="00872447" w:rsidRPr="00872447" w:rsidRDefault="00872447" w:rsidP="00F03F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447">
              <w:rPr>
                <w:rFonts w:ascii="Times New Roman" w:hAnsi="Times New Roman" w:cs="Times New Roman"/>
                <w:b/>
                <w:sz w:val="28"/>
                <w:szCs w:val="28"/>
              </w:rPr>
              <w:t>(MÖ15-MS17.YY)</w:t>
            </w:r>
          </w:p>
        </w:tc>
      </w:tr>
      <w:tr w:rsidR="00872447" w:rsidTr="00073302">
        <w:trPr>
          <w:trHeight w:val="451"/>
        </w:trPr>
        <w:tc>
          <w:tcPr>
            <w:tcW w:w="5276" w:type="dxa"/>
          </w:tcPr>
          <w:p w:rsidR="00872447" w:rsidRDefault="00872447" w:rsidP="00F03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409A" w:rsidRDefault="00AA409A" w:rsidP="00F03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409A" w:rsidRDefault="00AA409A" w:rsidP="00F03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2" w:type="dxa"/>
          </w:tcPr>
          <w:p w:rsidR="00872447" w:rsidRDefault="00872447" w:rsidP="00F03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2447" w:rsidTr="00073302">
        <w:trPr>
          <w:trHeight w:val="451"/>
        </w:trPr>
        <w:tc>
          <w:tcPr>
            <w:tcW w:w="5276" w:type="dxa"/>
          </w:tcPr>
          <w:p w:rsidR="00872447" w:rsidRDefault="00872447" w:rsidP="00F03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409A" w:rsidRDefault="00AA409A" w:rsidP="00F03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409A" w:rsidRDefault="00AA409A" w:rsidP="00F03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2" w:type="dxa"/>
          </w:tcPr>
          <w:p w:rsidR="00872447" w:rsidRDefault="00872447" w:rsidP="00F03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2447" w:rsidTr="00073302">
        <w:trPr>
          <w:trHeight w:val="451"/>
        </w:trPr>
        <w:tc>
          <w:tcPr>
            <w:tcW w:w="5276" w:type="dxa"/>
          </w:tcPr>
          <w:p w:rsidR="00872447" w:rsidRDefault="00872447" w:rsidP="00F03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409A" w:rsidRDefault="00AA409A" w:rsidP="00F03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409A" w:rsidRDefault="00AA409A" w:rsidP="00F03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2" w:type="dxa"/>
          </w:tcPr>
          <w:p w:rsidR="00872447" w:rsidRDefault="00872447" w:rsidP="00F03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2447" w:rsidTr="00073302">
        <w:trPr>
          <w:trHeight w:val="451"/>
        </w:trPr>
        <w:tc>
          <w:tcPr>
            <w:tcW w:w="5276" w:type="dxa"/>
          </w:tcPr>
          <w:p w:rsidR="00872447" w:rsidRDefault="00872447" w:rsidP="00F03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409A" w:rsidRDefault="00AA409A" w:rsidP="00F03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409A" w:rsidRDefault="00AA409A" w:rsidP="00F03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2" w:type="dxa"/>
          </w:tcPr>
          <w:p w:rsidR="00872447" w:rsidRDefault="00872447" w:rsidP="00F03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409A" w:rsidRDefault="00AA409A" w:rsidP="00F03F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409A" w:rsidRDefault="00AA409A" w:rsidP="00F03F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409A" w:rsidRDefault="00AA409A" w:rsidP="00F03F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409A" w:rsidRDefault="00AA409A" w:rsidP="00F03F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409A" w:rsidRDefault="00AA409A" w:rsidP="00F03F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1482" w:rsidRPr="008E6B32" w:rsidRDefault="004D1482" w:rsidP="00F03F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3F79" w:rsidRPr="00AA409A" w:rsidRDefault="00F03F79" w:rsidP="003F2C4D">
      <w:pPr>
        <w:pStyle w:val="ListeParagraf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A409A">
        <w:rPr>
          <w:rFonts w:ascii="Times New Roman" w:hAnsi="Times New Roman" w:cs="Times New Roman"/>
          <w:sz w:val="28"/>
          <w:szCs w:val="28"/>
        </w:rPr>
        <w:lastRenderedPageBreak/>
        <w:t>Descartes, metodik şüphe yolunu kullanarak oluşturduğu varlık anlayışını “Düşünüyorum, o halde varım.” Sözüyle açıklar. Ona göre şüphe kesin bi</w:t>
      </w:r>
      <w:r w:rsidR="00E97B75" w:rsidRPr="00AA409A">
        <w:rPr>
          <w:rFonts w:ascii="Times New Roman" w:hAnsi="Times New Roman" w:cs="Times New Roman"/>
          <w:sz w:val="28"/>
          <w:szCs w:val="28"/>
        </w:rPr>
        <w:t>l</w:t>
      </w:r>
      <w:r w:rsidRPr="00AA409A">
        <w:rPr>
          <w:rFonts w:ascii="Times New Roman" w:hAnsi="Times New Roman" w:cs="Times New Roman"/>
          <w:sz w:val="28"/>
          <w:szCs w:val="28"/>
        </w:rPr>
        <w:t>giye ulaşmada bir araçtır.</w:t>
      </w:r>
    </w:p>
    <w:p w:rsidR="00F03F79" w:rsidRDefault="00F03F79" w:rsidP="00F03F79">
      <w:pPr>
        <w:spacing w:after="0"/>
        <w:ind w:left="709" w:hanging="1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Descartes’ın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Metodik Şüphe yöntemini açıklayınız.</w:t>
      </w:r>
      <w:r w:rsidR="00073302">
        <w:rPr>
          <w:rFonts w:ascii="Times New Roman" w:hAnsi="Times New Roman" w:cs="Times New Roman"/>
          <w:b/>
          <w:sz w:val="28"/>
          <w:szCs w:val="28"/>
        </w:rPr>
        <w:t xml:space="preserve"> (arka sayfaya geçiniz!)</w:t>
      </w:r>
    </w:p>
    <w:p w:rsidR="00F03F79" w:rsidRDefault="00F03F79" w:rsidP="00F03F79">
      <w:pPr>
        <w:spacing w:after="0"/>
        <w:ind w:left="709" w:hanging="709"/>
        <w:rPr>
          <w:rFonts w:ascii="Times New Roman" w:hAnsi="Times New Roman" w:cs="Times New Roman"/>
          <w:b/>
          <w:sz w:val="28"/>
          <w:szCs w:val="28"/>
        </w:rPr>
      </w:pPr>
    </w:p>
    <w:p w:rsidR="00F03F79" w:rsidRDefault="00F03F79" w:rsidP="00F03F79">
      <w:pPr>
        <w:spacing w:after="0"/>
        <w:ind w:left="709" w:hanging="709"/>
        <w:rPr>
          <w:rFonts w:ascii="Times New Roman" w:hAnsi="Times New Roman" w:cs="Times New Roman"/>
          <w:b/>
          <w:sz w:val="28"/>
          <w:szCs w:val="28"/>
        </w:rPr>
      </w:pPr>
    </w:p>
    <w:p w:rsidR="00F03F79" w:rsidRDefault="00F03F79" w:rsidP="00F03F79">
      <w:pPr>
        <w:spacing w:after="0"/>
        <w:ind w:left="709" w:hanging="709"/>
        <w:rPr>
          <w:rFonts w:ascii="Times New Roman" w:hAnsi="Times New Roman" w:cs="Times New Roman"/>
          <w:b/>
          <w:sz w:val="28"/>
          <w:szCs w:val="28"/>
        </w:rPr>
      </w:pPr>
    </w:p>
    <w:p w:rsidR="00F03F79" w:rsidRDefault="00F03F79" w:rsidP="00F03F79">
      <w:pPr>
        <w:spacing w:after="0"/>
        <w:ind w:left="709" w:hanging="709"/>
        <w:rPr>
          <w:rFonts w:ascii="Times New Roman" w:hAnsi="Times New Roman" w:cs="Times New Roman"/>
          <w:b/>
          <w:sz w:val="28"/>
          <w:szCs w:val="28"/>
        </w:rPr>
      </w:pPr>
    </w:p>
    <w:p w:rsidR="00E97B75" w:rsidRDefault="00E97B75" w:rsidP="00F03F79">
      <w:pPr>
        <w:spacing w:after="0"/>
        <w:ind w:left="709" w:hanging="709"/>
        <w:rPr>
          <w:rFonts w:ascii="Times New Roman" w:hAnsi="Times New Roman" w:cs="Times New Roman"/>
          <w:b/>
          <w:sz w:val="28"/>
          <w:szCs w:val="28"/>
        </w:rPr>
      </w:pPr>
    </w:p>
    <w:p w:rsidR="00AA409A" w:rsidRDefault="00AA409A" w:rsidP="00F03F79">
      <w:pPr>
        <w:spacing w:after="0"/>
        <w:ind w:left="709" w:hanging="709"/>
        <w:rPr>
          <w:rFonts w:ascii="Times New Roman" w:hAnsi="Times New Roman" w:cs="Times New Roman"/>
          <w:b/>
          <w:sz w:val="28"/>
          <w:szCs w:val="28"/>
        </w:rPr>
      </w:pPr>
    </w:p>
    <w:p w:rsidR="002A2222" w:rsidRDefault="002A2222" w:rsidP="00F03F79">
      <w:pPr>
        <w:spacing w:after="0"/>
        <w:ind w:left="709" w:hanging="709"/>
        <w:rPr>
          <w:rFonts w:ascii="Times New Roman" w:hAnsi="Times New Roman" w:cs="Times New Roman"/>
          <w:b/>
          <w:sz w:val="28"/>
          <w:szCs w:val="28"/>
        </w:rPr>
      </w:pPr>
    </w:p>
    <w:p w:rsidR="002A2222" w:rsidRPr="008E6B32" w:rsidRDefault="002A2222" w:rsidP="00F03F79">
      <w:pPr>
        <w:spacing w:after="0"/>
        <w:ind w:left="709" w:hanging="709"/>
        <w:rPr>
          <w:rFonts w:ascii="Times New Roman" w:hAnsi="Times New Roman" w:cs="Times New Roman"/>
          <w:sz w:val="28"/>
          <w:szCs w:val="28"/>
        </w:rPr>
      </w:pPr>
    </w:p>
    <w:p w:rsidR="008E6B32" w:rsidRPr="00AA409A" w:rsidRDefault="00E97B75" w:rsidP="00FD044E">
      <w:pPr>
        <w:pStyle w:val="ListeParagraf"/>
        <w:numPr>
          <w:ilvl w:val="0"/>
          <w:numId w:val="3"/>
        </w:numPr>
        <w:spacing w:after="0"/>
        <w:ind w:hanging="709"/>
        <w:rPr>
          <w:rFonts w:ascii="Times New Roman" w:hAnsi="Times New Roman" w:cs="Times New Roman"/>
          <w:sz w:val="28"/>
          <w:szCs w:val="28"/>
        </w:rPr>
      </w:pPr>
      <w:r w:rsidRPr="00AA409A">
        <w:rPr>
          <w:rFonts w:ascii="Times New Roman" w:hAnsi="Times New Roman" w:cs="Times New Roman"/>
          <w:sz w:val="28"/>
          <w:szCs w:val="28"/>
        </w:rPr>
        <w:t xml:space="preserve">Rönesans düşünürü Thomas </w:t>
      </w:r>
      <w:proofErr w:type="spellStart"/>
      <w:r w:rsidRPr="00AA409A">
        <w:rPr>
          <w:rFonts w:ascii="Times New Roman" w:hAnsi="Times New Roman" w:cs="Times New Roman"/>
          <w:sz w:val="28"/>
          <w:szCs w:val="28"/>
        </w:rPr>
        <w:t>Hobbes</w:t>
      </w:r>
      <w:proofErr w:type="spellEnd"/>
      <w:r w:rsidRPr="00AA40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409A">
        <w:rPr>
          <w:rFonts w:ascii="Times New Roman" w:hAnsi="Times New Roman" w:cs="Times New Roman"/>
          <w:sz w:val="28"/>
          <w:szCs w:val="28"/>
        </w:rPr>
        <w:t>Leviathan</w:t>
      </w:r>
      <w:proofErr w:type="spellEnd"/>
      <w:r w:rsidRPr="00AA409A">
        <w:rPr>
          <w:rFonts w:ascii="Times New Roman" w:hAnsi="Times New Roman" w:cs="Times New Roman"/>
          <w:sz w:val="28"/>
          <w:szCs w:val="28"/>
        </w:rPr>
        <w:t xml:space="preserve"> kitabında “İnsan, insanın kurdudur.” der. Ona göre insan özü gereği bencildir ve bu durum çıkar çatışması yaşanmasına sebep olur.</w:t>
      </w:r>
    </w:p>
    <w:p w:rsidR="00E97B75" w:rsidRDefault="00E97B75" w:rsidP="00E97B75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E97B75" w:rsidRPr="00E97B75" w:rsidRDefault="00E97B75" w:rsidP="00E97B75">
      <w:pPr>
        <w:spacing w:after="0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E97B75">
        <w:rPr>
          <w:rFonts w:ascii="Times New Roman" w:hAnsi="Times New Roman" w:cs="Times New Roman"/>
          <w:b/>
          <w:sz w:val="28"/>
          <w:szCs w:val="28"/>
        </w:rPr>
        <w:t xml:space="preserve">T. </w:t>
      </w:r>
      <w:proofErr w:type="spellStart"/>
      <w:r w:rsidRPr="00E97B75">
        <w:rPr>
          <w:rFonts w:ascii="Times New Roman" w:hAnsi="Times New Roman" w:cs="Times New Roman"/>
          <w:b/>
          <w:sz w:val="28"/>
          <w:szCs w:val="28"/>
        </w:rPr>
        <w:t>Hobbes</w:t>
      </w:r>
      <w:proofErr w:type="spellEnd"/>
      <w:r w:rsidRPr="00E97B75">
        <w:rPr>
          <w:rFonts w:ascii="Times New Roman" w:hAnsi="Times New Roman" w:cs="Times New Roman"/>
          <w:b/>
          <w:sz w:val="28"/>
          <w:szCs w:val="28"/>
        </w:rPr>
        <w:t>, bu durumdan kurtulmanın yolu olarak Toplumsal Sözleşme kavramını ortaya atmıştır. ‘Toplumsal Sözleşme’ ne demek? Açıklayınız.</w:t>
      </w:r>
    </w:p>
    <w:p w:rsidR="00F27302" w:rsidRPr="00E97B75" w:rsidRDefault="00F27302" w:rsidP="00F03F7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03F79" w:rsidRDefault="00F03F79" w:rsidP="00F03F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3F79" w:rsidRDefault="00F03F79" w:rsidP="00F03F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3F79" w:rsidRDefault="00F03F79" w:rsidP="00F03F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409A" w:rsidRDefault="00AA409A" w:rsidP="00F03F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3F79" w:rsidRDefault="00F03F79" w:rsidP="00F03F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7302" w:rsidRPr="008E6B32" w:rsidRDefault="00F27302" w:rsidP="00F03F79">
      <w:pPr>
        <w:spacing w:after="0"/>
        <w:ind w:left="709" w:hanging="709"/>
        <w:rPr>
          <w:rFonts w:ascii="Times New Roman" w:hAnsi="Times New Roman" w:cs="Times New Roman"/>
          <w:sz w:val="28"/>
          <w:szCs w:val="28"/>
        </w:rPr>
      </w:pPr>
    </w:p>
    <w:p w:rsidR="00F03F79" w:rsidRDefault="00AA409A" w:rsidP="00AA409A">
      <w:pPr>
        <w:pStyle w:val="ListeParagraf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B75">
        <w:rPr>
          <w:rFonts w:ascii="Times New Roman" w:hAnsi="Times New Roman" w:cs="Times New Roman"/>
          <w:sz w:val="28"/>
          <w:szCs w:val="28"/>
        </w:rPr>
        <w:t xml:space="preserve">Aydınlanma düşünürü </w:t>
      </w:r>
      <w:proofErr w:type="spellStart"/>
      <w:r w:rsidR="00E97B75">
        <w:rPr>
          <w:rFonts w:ascii="Times New Roman" w:hAnsi="Times New Roman" w:cs="Times New Roman"/>
          <w:sz w:val="28"/>
          <w:szCs w:val="28"/>
        </w:rPr>
        <w:t>Montesquıeu</w:t>
      </w:r>
      <w:proofErr w:type="spellEnd"/>
      <w:r w:rsidR="00E97B75">
        <w:rPr>
          <w:rFonts w:ascii="Times New Roman" w:hAnsi="Times New Roman" w:cs="Times New Roman"/>
          <w:sz w:val="28"/>
          <w:szCs w:val="28"/>
        </w:rPr>
        <w:t xml:space="preserve">, devlet yönetiminde ‘Güçler Ayrılığı </w:t>
      </w:r>
      <w:proofErr w:type="spellStart"/>
      <w:r w:rsidR="00E97B75">
        <w:rPr>
          <w:rFonts w:ascii="Times New Roman" w:hAnsi="Times New Roman" w:cs="Times New Roman"/>
          <w:sz w:val="28"/>
          <w:szCs w:val="28"/>
        </w:rPr>
        <w:t>İlkesi’ni</w:t>
      </w:r>
      <w:proofErr w:type="spellEnd"/>
      <w:r w:rsidR="00E97B75">
        <w:rPr>
          <w:rFonts w:ascii="Times New Roman" w:hAnsi="Times New Roman" w:cs="Times New Roman"/>
          <w:sz w:val="28"/>
          <w:szCs w:val="28"/>
        </w:rPr>
        <w:t xml:space="preserve"> savunmuştur. Güçler ayrılığı ilkesi yasama, yürütme ve yargı güçlerinin birbirinden ayrı alanlar olarak devletin yönetilmesi esasına dayanır. Böylece üç güç tek bir elde toplanmayarak devletin baskıcı bir şekilde yönetilmesi engellenir.</w:t>
      </w:r>
    </w:p>
    <w:p w:rsidR="00073302" w:rsidRDefault="00073302" w:rsidP="00E97B75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</w:p>
    <w:p w:rsidR="00E97B75" w:rsidRPr="00073302" w:rsidRDefault="00E97B75" w:rsidP="00E97B75">
      <w:pPr>
        <w:spacing w:after="0"/>
        <w:ind w:left="709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73302">
        <w:rPr>
          <w:rFonts w:ascii="Times New Roman" w:hAnsi="Times New Roman" w:cs="Times New Roman"/>
          <w:b/>
          <w:sz w:val="28"/>
          <w:szCs w:val="28"/>
        </w:rPr>
        <w:t>Montesquıeu’</w:t>
      </w:r>
      <w:r w:rsidR="00073302" w:rsidRPr="00073302">
        <w:rPr>
          <w:rFonts w:ascii="Times New Roman" w:hAnsi="Times New Roman" w:cs="Times New Roman"/>
          <w:b/>
          <w:sz w:val="28"/>
          <w:szCs w:val="28"/>
        </w:rPr>
        <w:t>nun</w:t>
      </w:r>
      <w:proofErr w:type="spellEnd"/>
      <w:r w:rsidR="00073302" w:rsidRPr="00073302">
        <w:rPr>
          <w:rFonts w:ascii="Times New Roman" w:hAnsi="Times New Roman" w:cs="Times New Roman"/>
          <w:b/>
          <w:sz w:val="28"/>
          <w:szCs w:val="28"/>
        </w:rPr>
        <w:t xml:space="preserve"> ‘Güçler Ayrılığı </w:t>
      </w:r>
      <w:proofErr w:type="spellStart"/>
      <w:r w:rsidR="00073302" w:rsidRPr="00073302">
        <w:rPr>
          <w:rFonts w:ascii="Times New Roman" w:hAnsi="Times New Roman" w:cs="Times New Roman"/>
          <w:b/>
          <w:sz w:val="28"/>
          <w:szCs w:val="28"/>
        </w:rPr>
        <w:t>İ</w:t>
      </w:r>
      <w:r w:rsidRPr="00073302">
        <w:rPr>
          <w:rFonts w:ascii="Times New Roman" w:hAnsi="Times New Roman" w:cs="Times New Roman"/>
          <w:b/>
          <w:sz w:val="28"/>
          <w:szCs w:val="28"/>
        </w:rPr>
        <w:t>lkesi</w:t>
      </w:r>
      <w:r w:rsidR="00073302" w:rsidRPr="00073302">
        <w:rPr>
          <w:rFonts w:ascii="Times New Roman" w:hAnsi="Times New Roman" w:cs="Times New Roman"/>
          <w:b/>
          <w:sz w:val="28"/>
          <w:szCs w:val="28"/>
        </w:rPr>
        <w:t>’</w:t>
      </w:r>
      <w:r w:rsidRPr="00073302">
        <w:rPr>
          <w:rFonts w:ascii="Times New Roman" w:hAnsi="Times New Roman" w:cs="Times New Roman"/>
          <w:b/>
          <w:sz w:val="28"/>
          <w:szCs w:val="28"/>
        </w:rPr>
        <w:t>nin</w:t>
      </w:r>
      <w:proofErr w:type="spellEnd"/>
      <w:r w:rsidRPr="00073302">
        <w:rPr>
          <w:rFonts w:ascii="Times New Roman" w:hAnsi="Times New Roman" w:cs="Times New Roman"/>
          <w:b/>
          <w:sz w:val="28"/>
          <w:szCs w:val="28"/>
        </w:rPr>
        <w:t xml:space="preserve"> neyi amaçladığını, </w:t>
      </w:r>
      <w:proofErr w:type="spellStart"/>
      <w:r w:rsidRPr="00073302">
        <w:rPr>
          <w:rFonts w:ascii="Times New Roman" w:hAnsi="Times New Roman" w:cs="Times New Roman"/>
          <w:b/>
          <w:sz w:val="28"/>
          <w:szCs w:val="28"/>
        </w:rPr>
        <w:t>Aydınlama</w:t>
      </w:r>
      <w:proofErr w:type="spellEnd"/>
      <w:r w:rsidRPr="00073302">
        <w:rPr>
          <w:rFonts w:ascii="Times New Roman" w:hAnsi="Times New Roman" w:cs="Times New Roman"/>
          <w:b/>
          <w:sz w:val="28"/>
          <w:szCs w:val="28"/>
        </w:rPr>
        <w:t xml:space="preserve"> fel</w:t>
      </w:r>
      <w:r w:rsidR="00073302" w:rsidRPr="00073302">
        <w:rPr>
          <w:rFonts w:ascii="Times New Roman" w:hAnsi="Times New Roman" w:cs="Times New Roman"/>
          <w:b/>
          <w:sz w:val="28"/>
          <w:szCs w:val="28"/>
        </w:rPr>
        <w:t>sefesinin temel düşüncesi olan ‘Eşitlik-Özgürlük-A</w:t>
      </w:r>
      <w:r w:rsidRPr="00073302">
        <w:rPr>
          <w:rFonts w:ascii="Times New Roman" w:hAnsi="Times New Roman" w:cs="Times New Roman"/>
          <w:b/>
          <w:sz w:val="28"/>
          <w:szCs w:val="28"/>
        </w:rPr>
        <w:t>dalet</w:t>
      </w:r>
      <w:r w:rsidR="00073302" w:rsidRPr="00073302">
        <w:rPr>
          <w:rFonts w:ascii="Times New Roman" w:hAnsi="Times New Roman" w:cs="Times New Roman"/>
          <w:b/>
          <w:sz w:val="28"/>
          <w:szCs w:val="28"/>
        </w:rPr>
        <w:t>’</w:t>
      </w:r>
      <w:r w:rsidRPr="00073302">
        <w:rPr>
          <w:rFonts w:ascii="Times New Roman" w:hAnsi="Times New Roman" w:cs="Times New Roman"/>
          <w:b/>
          <w:sz w:val="28"/>
          <w:szCs w:val="28"/>
        </w:rPr>
        <w:t xml:space="preserve"> düşüncesiyle ilişkilendirerek açıklayınız.</w:t>
      </w:r>
    </w:p>
    <w:p w:rsidR="00416B87" w:rsidRPr="004D1482" w:rsidRDefault="00416B87" w:rsidP="00AA409A">
      <w:pPr>
        <w:spacing w:after="0"/>
        <w:rPr>
          <w:rFonts w:ascii="Times New Roman" w:hAnsi="Times New Roman" w:cs="Times New Roman"/>
          <w:b/>
          <w:caps/>
        </w:rPr>
      </w:pPr>
    </w:p>
    <w:sectPr w:rsidR="00416B87" w:rsidRPr="004D1482" w:rsidSect="00F03F79">
      <w:pgSz w:w="11906" w:h="16838"/>
      <w:pgMar w:top="709" w:right="849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D33DF"/>
    <w:multiLevelType w:val="hybridMultilevel"/>
    <w:tmpl w:val="23FE1D86"/>
    <w:lvl w:ilvl="0" w:tplc="29CCEC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AE67D2"/>
    <w:multiLevelType w:val="hybridMultilevel"/>
    <w:tmpl w:val="BFEA2C0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163AC5"/>
    <w:multiLevelType w:val="hybridMultilevel"/>
    <w:tmpl w:val="02F4C03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BAB"/>
    <w:rsid w:val="00073302"/>
    <w:rsid w:val="002A2222"/>
    <w:rsid w:val="00416B87"/>
    <w:rsid w:val="004D1482"/>
    <w:rsid w:val="005463C1"/>
    <w:rsid w:val="00641BAB"/>
    <w:rsid w:val="007901BC"/>
    <w:rsid w:val="007F4864"/>
    <w:rsid w:val="00872447"/>
    <w:rsid w:val="008E6B32"/>
    <w:rsid w:val="00AA409A"/>
    <w:rsid w:val="00BB3875"/>
    <w:rsid w:val="00D4569E"/>
    <w:rsid w:val="00D71F33"/>
    <w:rsid w:val="00DB1EF8"/>
    <w:rsid w:val="00E97B75"/>
    <w:rsid w:val="00F03F79"/>
    <w:rsid w:val="00F27302"/>
    <w:rsid w:val="00F4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F0436"/>
  <w15:chartTrackingRefBased/>
  <w15:docId w15:val="{0AC2525C-005C-489A-AC8F-3B39F9579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730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27302"/>
    <w:pPr>
      <w:ind w:left="720"/>
      <w:contextualSpacing/>
    </w:pPr>
  </w:style>
  <w:style w:type="table" w:styleId="TabloKlavuzu">
    <w:name w:val="Table Grid"/>
    <w:basedOn w:val="NormalTablo"/>
    <w:uiPriority w:val="39"/>
    <w:rsid w:val="008724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263</Words>
  <Characters>1503</Characters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2023-12-16T10:03:00Z</dcterms:created>
  <dcterms:modified xsi:type="dcterms:W3CDTF">2024-03-18T08:05:00Z</dcterms:modified>
</cp:coreProperties>
</file>