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0293A" w:rsidRDefault="00B0293A" w:rsidP="00B0293A">
      <w:pPr>
        <w:spacing w:line="240" w:lineRule="auto"/>
        <w:jc w:val="both"/>
        <w:rPr>
          <w:sz w:val="20"/>
        </w:rPr>
      </w:pPr>
      <w:r w:rsidRPr="00B0293A">
        <w:rPr>
          <w:sz w:val="20"/>
        </w:rPr>
        <w:t xml:space="preserve">18-19. yüzyıl felsefesi, bireysel ve toplumsal olarak Batı’da aydınlanmanın yaşandığı dönemdir. Aydınlanma, kelime anlamı olarak bir şeyi netleştirmek için onun üzerinde düşünmek, onu açığa çıkarmak olarak düşünülebilir. Bu dönem düşünürleri aklı ön planda tutarak toplumu aydınlatmaya çalışmışlardır. Bu çağda insanın aklı sayesinde tüm sorunlardan kurtulabileceği ve toplumsal olarak ebedî barışa ulaşabileceği düşüncesi hâkimdir. Bu çağ, </w:t>
      </w:r>
      <w:r w:rsidRPr="000C2E19">
        <w:rPr>
          <w:b/>
          <w:sz w:val="20"/>
          <w:u w:val="single"/>
        </w:rPr>
        <w:t>“Akıl Çağı</w:t>
      </w:r>
      <w:r w:rsidRPr="00B0293A">
        <w:rPr>
          <w:sz w:val="20"/>
        </w:rPr>
        <w:t xml:space="preserve">” olarak da isimlendirilir. 15-17. yüzyıl felsefesi, 18-19. yüzyıl felsefesini etkilemiştir. Bu dönem felsefesinin üzerinde yükseldiği temeller; felsefe, sanat ve bilimde yaşanan gelişmelerle toplumsal değişimlerdir. Bu durum bilimsel ve felsefi gelişimi tetiklemiş, din merkezli düşünceden insan merkezli düşünceye geçilmesini sağlamıştır. Avrupa’da aklın kullanımına engel olan baskıcı zihniyet giderek ortadan kalkmıştır. </w:t>
      </w:r>
      <w:r w:rsidRPr="000C2E19">
        <w:rPr>
          <w:b/>
          <w:sz w:val="20"/>
          <w:u w:val="single"/>
        </w:rPr>
        <w:t>Hümanizmin</w:t>
      </w:r>
      <w:r w:rsidRPr="00B0293A">
        <w:rPr>
          <w:sz w:val="20"/>
        </w:rPr>
        <w:t xml:space="preserve"> etkisiyle sanat ve felsefede yeni ekoller doğmuş, bilimde evrene yönelik yeni keşifler yapılmıştır. Matbaanın icadıyla okuryazarlığın artması, bazı din adamlarının dini kendi menfaatleri doğrultusunda kullandıklarını göstermiştir. Bu yeni anlayış, Katolik mezhebinde reform hareketlerinin yapılmasına neden olmuş ve Protestanlık gibi yeni mezhepler oluşmuştur. Bilim ve teknikteki gelişmelerle özellikle coğrafi keşifler, Akıl Çağı’nın oluşmasını sağlayan önemli unsurlardır. Toplumda yeni yaşam kültürleri görülmüş ve yeni oluşmuş toplumsal sınıfların mücadeleleri başlamıştır. Bu durum, insanların özgürlük arayışını da tetiklemiştir. Bu yaşananlar felsefeye yeni anlayışlar getirmiş, özellikle insan ve toplum üzerine yeni düşünceler doğmuştur. İnsanı ve doğayı sadece akıl temelinde anlamak aydınlanmanın amacıdır. </w:t>
      </w:r>
      <w:r w:rsidRPr="000C2E19">
        <w:rPr>
          <w:b/>
          <w:sz w:val="20"/>
          <w:u w:val="single"/>
        </w:rPr>
        <w:t>Fransız İhtilali,</w:t>
      </w:r>
      <w:r w:rsidRPr="00B0293A">
        <w:rPr>
          <w:b/>
          <w:sz w:val="20"/>
        </w:rPr>
        <w:t xml:space="preserve"> </w:t>
      </w:r>
      <w:r w:rsidRPr="00B0293A">
        <w:rPr>
          <w:sz w:val="20"/>
        </w:rPr>
        <w:t xml:space="preserve">15.yüzyılda başlayan gelişmelerin ve 18-19. yüzyıl felsefesinin somut bir sonucudur. Sosyal yaşayıştaki eşitsizlik ve adaletsizlik, aydınlanmayla oluşan özgürlük düşüncesiyle halk içinde krala karşı bir ayaklanma başlatmıştır. Bütün dünyayı etkileyen ihtilal, Fransa’da mutlak monarşinin yıkılması ve cumhuriyet rejiminin kurulmasıyla sonuçlanmıştır. İngiltere’de başlayan </w:t>
      </w:r>
      <w:r w:rsidRPr="000C2E19">
        <w:rPr>
          <w:b/>
          <w:sz w:val="20"/>
          <w:u w:val="single"/>
        </w:rPr>
        <w:t>Sanayi Devrimi</w:t>
      </w:r>
      <w:r w:rsidRPr="00B0293A">
        <w:rPr>
          <w:sz w:val="20"/>
        </w:rPr>
        <w:t xml:space="preserve">, hızlı üretim yapan fabrikaların kurulmasını ve ulaşımın kolaylaşarak kültürel ve ekonomik etkileşimin artmasını sağlamıştır. Bilim ve teknolojideki gelişmeler ve ekonomik alana yönelik felsefi düşünceler bunların zeminini oluşturmuştur. Aydın ve yazarlar sınıfı oluşmuştur. Sanat, felsefe ve edebiyatta önemli eserler verilmiştir. Felsefede yeni ekoller çıkmıştır. </w:t>
      </w:r>
    </w:p>
    <w:p w:rsidR="00B0293A" w:rsidRPr="000C2E19" w:rsidRDefault="00B0293A" w:rsidP="00B0293A">
      <w:pPr>
        <w:spacing w:line="240" w:lineRule="auto"/>
        <w:jc w:val="both"/>
        <w:rPr>
          <w:b/>
          <w:sz w:val="20"/>
          <w:u w:val="single"/>
        </w:rPr>
      </w:pPr>
      <w:r w:rsidRPr="000C2E19">
        <w:rPr>
          <w:b/>
          <w:sz w:val="20"/>
          <w:u w:val="single"/>
        </w:rPr>
        <w:t xml:space="preserve">Bilginin Kaynağı </w:t>
      </w:r>
    </w:p>
    <w:p w:rsidR="00B0293A" w:rsidRDefault="00B0293A" w:rsidP="00B0293A">
      <w:pPr>
        <w:spacing w:line="240" w:lineRule="auto"/>
        <w:jc w:val="both"/>
        <w:rPr>
          <w:sz w:val="20"/>
        </w:rPr>
      </w:pPr>
      <w:r w:rsidRPr="00B0293A">
        <w:rPr>
          <w:sz w:val="20"/>
        </w:rPr>
        <w:t xml:space="preserve">Bilgiye yönelik temel problem, bilginin ne olduğu ve insanın onu nasıl elde ettiğidir. Bilgi üzerine yapılan tartışmalar, felsefenin iki ana akımı olan </w:t>
      </w:r>
      <w:r w:rsidRPr="000C2E19">
        <w:rPr>
          <w:b/>
          <w:sz w:val="20"/>
          <w:u w:val="single"/>
        </w:rPr>
        <w:t>rasyonalizm</w:t>
      </w:r>
      <w:r w:rsidRPr="00B0293A">
        <w:rPr>
          <w:b/>
          <w:sz w:val="20"/>
        </w:rPr>
        <w:t xml:space="preserve"> ve </w:t>
      </w:r>
      <w:proofErr w:type="spellStart"/>
      <w:r w:rsidRPr="000C2E19">
        <w:rPr>
          <w:b/>
          <w:sz w:val="20"/>
          <w:u w:val="single"/>
        </w:rPr>
        <w:t>empirizm</w:t>
      </w:r>
      <w:proofErr w:type="spellEnd"/>
      <w:r w:rsidRPr="00B0293A">
        <w:rPr>
          <w:sz w:val="20"/>
        </w:rPr>
        <w:t xml:space="preserve"> üzerinden temellendirilir. Rasyonalizm, bilginin a </w:t>
      </w:r>
      <w:proofErr w:type="spellStart"/>
      <w:r w:rsidRPr="00B0293A">
        <w:rPr>
          <w:sz w:val="20"/>
        </w:rPr>
        <w:t>prioriden</w:t>
      </w:r>
      <w:proofErr w:type="spellEnd"/>
      <w:r w:rsidRPr="00B0293A">
        <w:rPr>
          <w:sz w:val="20"/>
        </w:rPr>
        <w:t xml:space="preserve"> (deneyimden bağımsız) sırf akılla oluştuğunu belirtirken </w:t>
      </w:r>
      <w:proofErr w:type="spellStart"/>
      <w:r w:rsidRPr="00B0293A">
        <w:rPr>
          <w:sz w:val="20"/>
        </w:rPr>
        <w:t>empirizm</w:t>
      </w:r>
      <w:proofErr w:type="spellEnd"/>
      <w:r w:rsidRPr="00B0293A">
        <w:rPr>
          <w:sz w:val="20"/>
        </w:rPr>
        <w:t xml:space="preserve">, a </w:t>
      </w:r>
      <w:proofErr w:type="spellStart"/>
      <w:r w:rsidRPr="00B0293A">
        <w:rPr>
          <w:sz w:val="20"/>
        </w:rPr>
        <w:t>posterioriden</w:t>
      </w:r>
      <w:proofErr w:type="spellEnd"/>
      <w:r w:rsidRPr="00B0293A">
        <w:rPr>
          <w:sz w:val="20"/>
        </w:rPr>
        <w:t xml:space="preserve"> (deneyime bağlı) oluştuğunu ileri sürer. Bu iki görüşü uzlaştırmaya çalışan 18. yy. filozofu Kant ise bilginin akıl ve deneyimle oluştuğu görüşündedir. Bu açıdan rasyonalist filozoflardan Descartes (17. yüzyıl), </w:t>
      </w:r>
      <w:proofErr w:type="spellStart"/>
      <w:r w:rsidRPr="00B0293A">
        <w:rPr>
          <w:sz w:val="20"/>
        </w:rPr>
        <w:t>empirist</w:t>
      </w:r>
      <w:proofErr w:type="spellEnd"/>
      <w:r w:rsidRPr="00B0293A">
        <w:rPr>
          <w:sz w:val="20"/>
        </w:rPr>
        <w:t xml:space="preserve"> filozoflardan J. Locke (17–18. yüzyıl) ve iki akımı sentezleyen Kant’ın (18. yüzyıl) bilgi hakkındaki görüşleri önemlidir. </w:t>
      </w:r>
      <w:proofErr w:type="spellStart"/>
      <w:r w:rsidRPr="000C2E19">
        <w:rPr>
          <w:b/>
          <w:sz w:val="20"/>
          <w:u w:val="single"/>
        </w:rPr>
        <w:t>Descartes’a</w:t>
      </w:r>
      <w:proofErr w:type="spellEnd"/>
      <w:r w:rsidRPr="00B0293A">
        <w:rPr>
          <w:sz w:val="20"/>
        </w:rPr>
        <w:t xml:space="preserve"> göre bilgi, sonradan oluşan deneyimlerle değil doğuştan gelen aklın ilkeleriyle gerçekleşir. J. </w:t>
      </w:r>
      <w:r w:rsidRPr="000C2E19">
        <w:rPr>
          <w:b/>
          <w:sz w:val="20"/>
          <w:u w:val="single"/>
        </w:rPr>
        <w:t>Locke</w:t>
      </w:r>
      <w:r w:rsidRPr="00B0293A">
        <w:rPr>
          <w:sz w:val="20"/>
        </w:rPr>
        <w:t xml:space="preserve">, </w:t>
      </w:r>
      <w:proofErr w:type="spellStart"/>
      <w:r w:rsidRPr="00B0293A">
        <w:rPr>
          <w:sz w:val="20"/>
        </w:rPr>
        <w:t>Descartes’ın</w:t>
      </w:r>
      <w:proofErr w:type="spellEnd"/>
      <w:r w:rsidRPr="00B0293A">
        <w:rPr>
          <w:sz w:val="20"/>
        </w:rPr>
        <w:t xml:space="preserve"> doğuştancılık fikrine karşı çıkar ve bilginin doğuştan değil sonradan deneyimler </w:t>
      </w:r>
      <w:r w:rsidRPr="00B0293A">
        <w:rPr>
          <w:sz w:val="20"/>
        </w:rPr>
        <w:lastRenderedPageBreak/>
        <w:t xml:space="preserve">aracılığıyla oluştuğunu belirtir. </w:t>
      </w:r>
      <w:r w:rsidRPr="000C2E19">
        <w:rPr>
          <w:b/>
          <w:sz w:val="20"/>
          <w:u w:val="single"/>
        </w:rPr>
        <w:t>Kant</w:t>
      </w:r>
      <w:r w:rsidRPr="00B0293A">
        <w:rPr>
          <w:sz w:val="20"/>
        </w:rPr>
        <w:t xml:space="preserve">, deneyim ve aklın bir arada kullanılmasıyla bilginin oluştuğunu düşünür. </w:t>
      </w:r>
    </w:p>
    <w:p w:rsidR="00B0293A" w:rsidRPr="009723C2" w:rsidRDefault="00B0293A" w:rsidP="00B0293A">
      <w:pPr>
        <w:spacing w:line="240" w:lineRule="auto"/>
        <w:jc w:val="both"/>
        <w:rPr>
          <w:b/>
          <w:sz w:val="20"/>
          <w:u w:val="single"/>
        </w:rPr>
      </w:pPr>
      <w:r w:rsidRPr="009723C2">
        <w:rPr>
          <w:b/>
          <w:sz w:val="20"/>
          <w:u w:val="single"/>
        </w:rPr>
        <w:t xml:space="preserve">Birey-Devlet İlişkisi </w:t>
      </w:r>
    </w:p>
    <w:p w:rsidR="00B0293A" w:rsidRPr="00B0293A" w:rsidRDefault="00B0293A" w:rsidP="00B0293A">
      <w:pPr>
        <w:spacing w:line="240" w:lineRule="auto"/>
        <w:jc w:val="both"/>
        <w:rPr>
          <w:sz w:val="20"/>
        </w:rPr>
      </w:pPr>
      <w:r w:rsidRPr="00B0293A">
        <w:rPr>
          <w:sz w:val="20"/>
        </w:rPr>
        <w:t xml:space="preserve">17. yy. felsefesinde mutlak monarşiye dayalı devlet sistemleri düşünülmüş, devletin her türlü gücü elinde bulundurmasının birlik ve beraberlik açısından zorunlu olduğu görülmüştür. Bu görüşe kapsamlı olarak ilk karşı çıkış J. Locke tarafından yapılmıştır. </w:t>
      </w:r>
      <w:r w:rsidRPr="000C2E19">
        <w:rPr>
          <w:b/>
          <w:sz w:val="20"/>
          <w:u w:val="single"/>
        </w:rPr>
        <w:t>Locke</w:t>
      </w:r>
      <w:r w:rsidRPr="00B0293A">
        <w:rPr>
          <w:sz w:val="20"/>
        </w:rPr>
        <w:t xml:space="preserve">, mutlak monarşiye karşı liberal (özgürlükçü) bir devlet sistemini ileri sürmüştür. Hukukun güvencesi için haklarını insanların kendi istekleriyle siyasal bir otoriteye yani devlete devrettiklerini belirtir. Ona göre doğal durumdan yapay duruma geçmek zorunludur. İnsanların kendi iradeleriyle kurduğu devlet düzeninde çoğunluğun dediği olmaktadır. Meşru yönetimin kaynağı çoğulcu iradedir. Locke; devletin gücünü yasama, yürütme ve yargı olarak üçe ayırır. Montesquieu, toplumdaki hızlı değişimlerin etkisiyle toplumu bilimsel olarak inceler. Gözlem ve deney yöntemini topluma uygular. Ona göre her yasa, kendini oluşturan fiziki bir veya birden fazla olayın gerçekliğine bağlı ve bir ilişkinin ürünüdür. Her yasa, bir başka yasaya bağlıdır veya tabiidir. İnsanın başkasının hakkını yemeden özgürce davranma yetisine sahip olduğunu belirten </w:t>
      </w:r>
      <w:r w:rsidRPr="000C2E19">
        <w:rPr>
          <w:b/>
          <w:sz w:val="20"/>
          <w:u w:val="single"/>
        </w:rPr>
        <w:t>Montesquieu</w:t>
      </w:r>
      <w:r w:rsidRPr="00B0293A">
        <w:rPr>
          <w:sz w:val="20"/>
        </w:rPr>
        <w:t xml:space="preserve">, bu özgürlüğün korunması için güçler ayrılığı ilkesini öne sürer. Devletlerde yasama, yürütme ve yargı güçlerinin bulunduğunu ve özgürlüğü kısıtlamamak için bunların birbirini denetlemeleri gerektiğini belirtir. </w:t>
      </w:r>
      <w:r w:rsidRPr="000C2E19">
        <w:rPr>
          <w:b/>
          <w:sz w:val="20"/>
          <w:u w:val="single"/>
        </w:rPr>
        <w:t>Rousseau</w:t>
      </w:r>
      <w:r w:rsidRPr="00B0293A">
        <w:rPr>
          <w:sz w:val="20"/>
        </w:rPr>
        <w:t xml:space="preserve"> da devlete yönelik görüşlerini açıklarken doğal yaşamdan hareket eder. İlk insanın doğada tam olarak özgür ve eşit yaşadığını, yaşamının da toplumun kurulmasıyla son bulduğunu belirtir. Özellikle “mülkiyet” kavramının ortaya çıkmasının özgürlüğü ve eşitliği ortadan kaldırdığına işaret eder. Özel mülkiyet anlayışının yayılmasının “hak” kavramını da oluşturduğunu düşünen Rousseau, bunu doğal yaşamın sonu olarak görür. İnsanların bir araya gelip zorunlu olarak “toplumsal sözleşme” yaptığını ve bunun doğrultusunda devletin kurulduğunu ileri sürer. Haksızlık durumlarına çözüm olsun diye oluşturulan toplumsal sözleşmenin insanları köleleştirdiğini belirten Rousseau, geriye yani doğal duruma dönüşün mümkün olmadığını söyler. Yapılması gereken şey, doğal yaşama uygun olan yasaların çıkarılmasıdır. Rousseau, insanların toplum içinde özgür olabilecekleri bir düzen oluşturmaları gerektiği görüşündedir. Mülkiyetlerin ortak güç tarafından güvence altına alındığı medeni toplumda herkesin bir arada bulunmasına rağmen bireysel olarak özgür olabildikleri bir toplumun oluşturulabileceğini belirtir.</w:t>
      </w:r>
    </w:p>
    <w:p w:rsidR="009C47FD" w:rsidRPr="000C2E19" w:rsidRDefault="007F03F9" w:rsidP="00B0293A">
      <w:pPr>
        <w:spacing w:line="240" w:lineRule="auto"/>
        <w:jc w:val="both"/>
        <w:rPr>
          <w:b/>
          <w:sz w:val="20"/>
          <w:u w:val="single"/>
        </w:rPr>
      </w:pPr>
      <w:r w:rsidRPr="000C2E19">
        <w:rPr>
          <w:b/>
          <w:sz w:val="20"/>
          <w:u w:val="single"/>
        </w:rPr>
        <w:t>Ahlakın İlkeleri</w:t>
      </w:r>
    </w:p>
    <w:p w:rsidR="007F03F9" w:rsidRDefault="007F03F9" w:rsidP="00B0293A">
      <w:pPr>
        <w:spacing w:line="240" w:lineRule="auto"/>
        <w:jc w:val="both"/>
        <w:rPr>
          <w:sz w:val="20"/>
        </w:rPr>
      </w:pPr>
      <w:r w:rsidRPr="007F03F9">
        <w:rPr>
          <w:sz w:val="20"/>
        </w:rPr>
        <w:t xml:space="preserve"> 18-19. yüzyıl felsefesinin genel karakterini taşıyan akılcı yönelim, yaşanan toplumsal olayların ahlaki sonuçları neticesinde kaçınılmaz olarak ahlak alanına yönelmiştir. Bu dönemin filozofları; ahlakı, akılla anlama ve yorumlama eğilimi göstermiş ve düşüncelerini bu noktadan yaymışlardır. Kant ahlakı pratik alanda ele alır ve onu akıl yoluyla açıklamaya çalışır. Bu yolda ilk işi “iyi istenç” kavramını çözümlemektir. Kant; iyi istenç kavramıyla her koşulda, her zaman doğru olarak kabul edilebilecek insan eylemlerine eşlik eden iyi iradeyi anlar. </w:t>
      </w:r>
      <w:r w:rsidRPr="000C2E19">
        <w:rPr>
          <w:b/>
          <w:sz w:val="20"/>
          <w:u w:val="single"/>
        </w:rPr>
        <w:t>Kant</w:t>
      </w:r>
      <w:r w:rsidRPr="007F03F9">
        <w:rPr>
          <w:sz w:val="20"/>
        </w:rPr>
        <w:t xml:space="preserve">, ahlakı ve iyiyi eylemlerin sonucuna göre değil onların </w:t>
      </w:r>
      <w:r w:rsidRPr="007F03F9">
        <w:rPr>
          <w:sz w:val="20"/>
        </w:rPr>
        <w:lastRenderedPageBreak/>
        <w:t>arkasındaki amaca göre değerlendirir. Kant, ahlaka yönelik “</w:t>
      </w:r>
      <w:r w:rsidRPr="000C2E19">
        <w:rPr>
          <w:b/>
          <w:sz w:val="20"/>
          <w:u w:val="single"/>
        </w:rPr>
        <w:t>ödev</w:t>
      </w:r>
      <w:r w:rsidRPr="007F03F9">
        <w:rPr>
          <w:sz w:val="20"/>
        </w:rPr>
        <w:t xml:space="preserve">” kavramını kullanarak iyi istenci geliştirmeye çalışır. Ona göre ödev, insanın kendi isteğiyle sorumluluğunu aldığı eylem, içten ve vicdanı tarafından verilen emirlerdir. Ödev, bütün insanlar için geçerli olan ama kimsenin arzu ve isteklerine bağlı olmayan evrensel ahlak ilkesi taşır. </w:t>
      </w:r>
      <w:r w:rsidRPr="000C2E19">
        <w:rPr>
          <w:b/>
          <w:sz w:val="20"/>
          <w:u w:val="single"/>
        </w:rPr>
        <w:t>Bentham</w:t>
      </w:r>
      <w:r w:rsidRPr="007F03F9">
        <w:rPr>
          <w:sz w:val="20"/>
        </w:rPr>
        <w:t>, ahlakı pratik alanda öngörür. İnsanın doğası gereği acıdan kaçan ve “</w:t>
      </w:r>
      <w:r w:rsidRPr="000C2E19">
        <w:rPr>
          <w:b/>
          <w:sz w:val="20"/>
          <w:u w:val="single"/>
        </w:rPr>
        <w:t>haz</w:t>
      </w:r>
      <w:r w:rsidRPr="007F03F9">
        <w:rPr>
          <w:sz w:val="20"/>
        </w:rPr>
        <w:t xml:space="preserve">” peşinde olan biri olduğunu söyler. Bu eylemin akılla bilinçli bir şekilde yapıldığında insana erdemli olma niteliği kazandıracağını öne sürer. Acı karşısında hazzı, haz karşısında acıyı ölçüp tartan biri; faydayı hangisinde daha çok görürse ona yönelmelidir. Bentham, bazen büyük hazlar için küçük acılardan veya büyük acılardan kaçmak için küçük hazlardan vazgeçmek gerekebileceğini belirtir. Ona göre mutluluk, insanın aklıyla kendi eylemini seçmesindedir. Çoğunluğun faydasına olan doğru eylemdir, haz verici ve mutlu edicidir. </w:t>
      </w:r>
    </w:p>
    <w:p w:rsidR="007F03F9" w:rsidRPr="000C2E19" w:rsidRDefault="007F03F9" w:rsidP="00B0293A">
      <w:pPr>
        <w:spacing w:line="240" w:lineRule="auto"/>
        <w:jc w:val="both"/>
        <w:rPr>
          <w:b/>
          <w:sz w:val="20"/>
          <w:u w:val="single"/>
        </w:rPr>
      </w:pPr>
      <w:r w:rsidRPr="000C2E19">
        <w:rPr>
          <w:b/>
          <w:sz w:val="20"/>
          <w:u w:val="single"/>
        </w:rPr>
        <w:t>Varlığın Oluşu</w:t>
      </w:r>
    </w:p>
    <w:p w:rsidR="007F03F9" w:rsidRDefault="007F03F9" w:rsidP="00B0293A">
      <w:pPr>
        <w:spacing w:line="240" w:lineRule="auto"/>
        <w:jc w:val="both"/>
        <w:rPr>
          <w:sz w:val="20"/>
        </w:rPr>
      </w:pPr>
      <w:r w:rsidRPr="007F03F9">
        <w:rPr>
          <w:sz w:val="20"/>
        </w:rPr>
        <w:t xml:space="preserve"> </w:t>
      </w:r>
      <w:proofErr w:type="spellStart"/>
      <w:r w:rsidRPr="007F03F9">
        <w:rPr>
          <w:sz w:val="20"/>
        </w:rPr>
        <w:t>Hegel</w:t>
      </w:r>
      <w:proofErr w:type="spellEnd"/>
      <w:r w:rsidRPr="007F03F9">
        <w:rPr>
          <w:sz w:val="20"/>
        </w:rPr>
        <w:t xml:space="preserve"> ‘in “</w:t>
      </w:r>
      <w:r w:rsidRPr="000C2E19">
        <w:rPr>
          <w:b/>
          <w:sz w:val="20"/>
          <w:u w:val="single"/>
        </w:rPr>
        <w:t>Gerçek bütündür</w:t>
      </w:r>
      <w:r w:rsidRPr="007F03F9">
        <w:rPr>
          <w:sz w:val="20"/>
        </w:rPr>
        <w:t>.” ve “</w:t>
      </w:r>
      <w:r w:rsidRPr="000C2E19">
        <w:rPr>
          <w:b/>
          <w:sz w:val="20"/>
          <w:u w:val="single"/>
        </w:rPr>
        <w:t>Akılsal olan gerçek, gerçek olan akılsaldır</w:t>
      </w:r>
      <w:r w:rsidRPr="000C2E19">
        <w:rPr>
          <w:sz w:val="20"/>
          <w:u w:val="single"/>
        </w:rPr>
        <w:t>.</w:t>
      </w:r>
      <w:r w:rsidRPr="007F03F9">
        <w:rPr>
          <w:sz w:val="20"/>
        </w:rPr>
        <w:t xml:space="preserve">” yargıları; </w:t>
      </w:r>
      <w:proofErr w:type="spellStart"/>
      <w:r w:rsidRPr="007F03F9">
        <w:rPr>
          <w:sz w:val="20"/>
        </w:rPr>
        <w:t>Hegel</w:t>
      </w:r>
      <w:proofErr w:type="spellEnd"/>
      <w:r w:rsidRPr="007F03F9">
        <w:rPr>
          <w:sz w:val="20"/>
        </w:rPr>
        <w:t xml:space="preserve"> felsefesinin özeti, kapsamı ve başlangıcıdır. </w:t>
      </w:r>
      <w:proofErr w:type="spellStart"/>
      <w:r w:rsidRPr="007F03F9">
        <w:rPr>
          <w:sz w:val="20"/>
        </w:rPr>
        <w:t>Hegel</w:t>
      </w:r>
      <w:proofErr w:type="spellEnd"/>
      <w:r w:rsidRPr="007F03F9">
        <w:rPr>
          <w:sz w:val="20"/>
        </w:rPr>
        <w:t xml:space="preserve">, bütün varlıkların tek bir özden bir yasa dâhilinde var olduğunu söyler. O; tek bir şeyi farklı kavramlarla ifade eder; </w:t>
      </w:r>
      <w:proofErr w:type="spellStart"/>
      <w:r w:rsidRPr="007F03F9">
        <w:rPr>
          <w:sz w:val="20"/>
        </w:rPr>
        <w:t>Hegel</w:t>
      </w:r>
      <w:proofErr w:type="spellEnd"/>
      <w:r w:rsidRPr="007F03F9">
        <w:rPr>
          <w:sz w:val="20"/>
        </w:rPr>
        <w:t>’ de “Tanrı”, “</w:t>
      </w:r>
      <w:proofErr w:type="spellStart"/>
      <w:r w:rsidRPr="007F03F9">
        <w:rPr>
          <w:sz w:val="20"/>
        </w:rPr>
        <w:t>geist</w:t>
      </w:r>
      <w:proofErr w:type="spellEnd"/>
      <w:r w:rsidRPr="007F03F9">
        <w:rPr>
          <w:sz w:val="20"/>
        </w:rPr>
        <w:t xml:space="preserve">”, “fikir”, “akıl” veya “tin” </w:t>
      </w:r>
      <w:r w:rsidRPr="000C2E19">
        <w:rPr>
          <w:b/>
          <w:sz w:val="20"/>
          <w:u w:val="single"/>
        </w:rPr>
        <w:t>mutlak olanı</w:t>
      </w:r>
      <w:r w:rsidRPr="007F03F9">
        <w:rPr>
          <w:sz w:val="20"/>
        </w:rPr>
        <w:t xml:space="preserve"> temsil eden farklı kavramlardır. Tin, ilk başta kendiyle özdeş ve kendisi için varlıktır. Tin, bu aşamada kendini tanımamaktadır. Kendini tanıyabilmesi için kendi olmayanda kendini görmelidir. Kendi olmayan karşıtıdır. Tinin karşıtı doğadır. Amacı kendini tanımak olan tin, doğayı yeni bir dönüşüme zorlar. Tin ve doğa uzlaşır. Sentezlenen yeni durum, tin ve doğanın mükemmel uyumu olan insandır. İnsanlık tarihi, tinin kendini bulup tanımasının zeminidir. Tinin kendini bilip tanıması, </w:t>
      </w:r>
      <w:proofErr w:type="spellStart"/>
      <w:r w:rsidRPr="007F03F9">
        <w:rPr>
          <w:sz w:val="20"/>
        </w:rPr>
        <w:t>Hegel</w:t>
      </w:r>
      <w:proofErr w:type="spellEnd"/>
      <w:r w:rsidRPr="007F03F9">
        <w:rPr>
          <w:sz w:val="20"/>
        </w:rPr>
        <w:t xml:space="preserve"> ’in varlıkların oluş ve değişimini açıkladığı bir ilkenin ve diyalektik yasanın sonucudur. Bu yasa üçlü bir oluş sürecini içerir: </w:t>
      </w:r>
      <w:r w:rsidRPr="000C2E19">
        <w:rPr>
          <w:b/>
          <w:sz w:val="20"/>
          <w:u w:val="single"/>
        </w:rPr>
        <w:t>tez</w:t>
      </w:r>
      <w:r w:rsidRPr="007F03F9">
        <w:rPr>
          <w:sz w:val="20"/>
        </w:rPr>
        <w:t xml:space="preserve"> (sav), </w:t>
      </w:r>
      <w:r w:rsidRPr="000C2E19">
        <w:rPr>
          <w:b/>
          <w:sz w:val="20"/>
          <w:u w:val="single"/>
        </w:rPr>
        <w:t>antitez</w:t>
      </w:r>
      <w:r w:rsidRPr="007F03F9">
        <w:rPr>
          <w:sz w:val="20"/>
        </w:rPr>
        <w:t xml:space="preserve"> (karşı sav) ve </w:t>
      </w:r>
      <w:r w:rsidRPr="000C2E19">
        <w:rPr>
          <w:b/>
          <w:sz w:val="20"/>
          <w:u w:val="single"/>
        </w:rPr>
        <w:t>sentez</w:t>
      </w:r>
      <w:r w:rsidRPr="007F03F9">
        <w:rPr>
          <w:sz w:val="20"/>
        </w:rPr>
        <w:t xml:space="preserve"> (yeni sav). Yeni sav, yeni bir diyalektik sürecin de başlangıcıdır. Her bir varlık, içerisinde bir şey olma potansiyeli taşır. Her varlığın olacağı şey için başkalaşması yani kendi karşıtına dönüşmesi gerekir. Sonuçta yeni bir sentezle olabileceği şeye bu diyalektik sürecin sonunda dönüşür. “</w:t>
      </w:r>
      <w:r w:rsidRPr="000C2E19">
        <w:rPr>
          <w:b/>
          <w:sz w:val="20"/>
          <w:u w:val="single"/>
        </w:rPr>
        <w:t>Güneşin altında yeni bir şey yok</w:t>
      </w:r>
      <w:r w:rsidRPr="007F03F9">
        <w:rPr>
          <w:sz w:val="20"/>
        </w:rPr>
        <w:t xml:space="preserve">.” diyen </w:t>
      </w:r>
      <w:proofErr w:type="spellStart"/>
      <w:r w:rsidRPr="007F03F9">
        <w:rPr>
          <w:sz w:val="20"/>
        </w:rPr>
        <w:t>Hegel</w:t>
      </w:r>
      <w:proofErr w:type="spellEnd"/>
      <w:r w:rsidRPr="007F03F9">
        <w:rPr>
          <w:sz w:val="20"/>
        </w:rPr>
        <w:t xml:space="preserve">, doğanın diyalektiğini bir döngü olarak dile getirir. </w:t>
      </w:r>
      <w:proofErr w:type="spellStart"/>
      <w:r w:rsidRPr="007F03F9">
        <w:rPr>
          <w:sz w:val="20"/>
        </w:rPr>
        <w:t>Hegel</w:t>
      </w:r>
      <w:proofErr w:type="spellEnd"/>
      <w:r w:rsidRPr="007F03F9">
        <w:rPr>
          <w:sz w:val="20"/>
        </w:rPr>
        <w:t xml:space="preserve"> felsefesinde her varlık, sav ve kavram için diyalektik geçerlidir. Ancak insanlık tarihi bu </w:t>
      </w:r>
      <w:proofErr w:type="spellStart"/>
      <w:r w:rsidRPr="007F03F9">
        <w:rPr>
          <w:sz w:val="20"/>
        </w:rPr>
        <w:t>döngüselliği</w:t>
      </w:r>
      <w:proofErr w:type="spellEnd"/>
      <w:r w:rsidRPr="007F03F9">
        <w:rPr>
          <w:sz w:val="20"/>
        </w:rPr>
        <w:t xml:space="preserve"> kırmış ve aklı sayesinde hem canlılığını hem de bilgilerini aktarabilmiştir. </w:t>
      </w:r>
    </w:p>
    <w:p w:rsidR="007F03F9" w:rsidRPr="009F7460" w:rsidRDefault="007F03F9" w:rsidP="00B0293A">
      <w:pPr>
        <w:spacing w:line="240" w:lineRule="auto"/>
        <w:jc w:val="both"/>
        <w:rPr>
          <w:b/>
          <w:sz w:val="20"/>
          <w:u w:val="single"/>
        </w:rPr>
      </w:pPr>
      <w:r w:rsidRPr="009F7460">
        <w:rPr>
          <w:b/>
          <w:sz w:val="20"/>
          <w:u w:val="single"/>
        </w:rPr>
        <w:t xml:space="preserve">Dil ve Edebiyat İlişkisi </w:t>
      </w:r>
    </w:p>
    <w:p w:rsidR="009F7460" w:rsidRDefault="007F03F9" w:rsidP="00B0293A">
      <w:pPr>
        <w:spacing w:line="240" w:lineRule="auto"/>
        <w:jc w:val="both"/>
        <w:rPr>
          <w:sz w:val="20"/>
        </w:rPr>
      </w:pPr>
      <w:r w:rsidRPr="007F03F9">
        <w:rPr>
          <w:sz w:val="20"/>
        </w:rPr>
        <w:t>Felsefenin dil ve edebiyatla olan ilişkisi,</w:t>
      </w:r>
      <w:r w:rsidRPr="007F03F9">
        <w:rPr>
          <w:b/>
          <w:sz w:val="20"/>
        </w:rPr>
        <w:t xml:space="preserve"> </w:t>
      </w:r>
      <w:r w:rsidRPr="007F03F9">
        <w:rPr>
          <w:sz w:val="20"/>
        </w:rPr>
        <w:t xml:space="preserve">18-19. yüzyıl felsefesini önemli ölçüde etkilemiştir. Düşüncelerin oluşturulması ve bunların aktarımı felsefenin dışına çıkmış, genel olarak sanatta özel olarak edebiyatta yeni anlatım yöntemleri kazanmıştır. Edebiyat, bir yandan düşünce alanını genişletmiş bir yandan da insanların kitaplara olan ilgisini artırmıştır. 18. yüzyılda matbaaların sayısı hızla artmış ve Avrupa’nın çeşitli yerlerinde birçok yayın görülmeye başlanmıştır. Bunu etkileyen önemli unsurlar, burjuva sınıfının giderek büyümesi ve felsefenin yanı sıra dil ve edebiyata olan düşkünlüktür. Tarihin bu döneminde yayınların sayısında ciddi bir artış görülmektedir. Filozof ve aydınlar sadece felsefi ürünler değil farklı alanlardan da eserler </w:t>
      </w:r>
      <w:r w:rsidRPr="007F03F9">
        <w:rPr>
          <w:sz w:val="20"/>
        </w:rPr>
        <w:lastRenderedPageBreak/>
        <w:t xml:space="preserve">vermiştir. Matematikçi, hukukçu ve sanatçılar arasından felsefeyle beraber dil ve edebiyat alanında yazanlar da olmuştur. Bu dönemdeki yazılar, genel olarak toplumu ilgilendiren konulardan oluşur. Akıl, deney, ilerleme, özgürlük, insan hakları, adalet ve eşitlik gibi kavramlar sık sık kullanılmıştır. Bu dönemin felsefi eserleri daha çok burjuva sınıfına hitap etmektedir. Edebî eserler, felsefenin halk arasında yayılmasına etki eden en önemli alan olmuştur. Felsefi ve edebî eserlerin giderek çoğalması düşünsel zenginliği artırmış ve halkın aydınlanmasında etkili olmuştur. Fransa’da </w:t>
      </w:r>
      <w:proofErr w:type="spellStart"/>
      <w:r w:rsidRPr="007F03F9">
        <w:rPr>
          <w:sz w:val="20"/>
        </w:rPr>
        <w:t>Voltaire</w:t>
      </w:r>
      <w:proofErr w:type="spellEnd"/>
      <w:r w:rsidRPr="007F03F9">
        <w:rPr>
          <w:sz w:val="20"/>
        </w:rPr>
        <w:t>, Montesquieu ve Rousseau gibi filozoflar, önemli felsefi eserler vermiştir. Ayrıca dönemin en ünlü yayını olarak bilinen “</w:t>
      </w:r>
      <w:r w:rsidRPr="009F7460">
        <w:rPr>
          <w:b/>
          <w:sz w:val="20"/>
          <w:u w:val="single"/>
        </w:rPr>
        <w:t>Ansiklopedi</w:t>
      </w:r>
      <w:r w:rsidRPr="007F03F9">
        <w:rPr>
          <w:sz w:val="20"/>
        </w:rPr>
        <w:t xml:space="preserve">” eserinde </w:t>
      </w:r>
      <w:proofErr w:type="spellStart"/>
      <w:r w:rsidRPr="007F03F9">
        <w:rPr>
          <w:sz w:val="20"/>
        </w:rPr>
        <w:t>d’Alembert</w:t>
      </w:r>
      <w:proofErr w:type="spellEnd"/>
      <w:r w:rsidRPr="007F03F9">
        <w:rPr>
          <w:sz w:val="20"/>
        </w:rPr>
        <w:t xml:space="preserve"> ve </w:t>
      </w:r>
      <w:proofErr w:type="spellStart"/>
      <w:r w:rsidRPr="007F03F9">
        <w:rPr>
          <w:sz w:val="20"/>
        </w:rPr>
        <w:t>Diderot</w:t>
      </w:r>
      <w:proofErr w:type="spellEnd"/>
      <w:r w:rsidRPr="007F03F9">
        <w:rPr>
          <w:sz w:val="20"/>
        </w:rPr>
        <w:t xml:space="preserve"> gibi düşünürlerle beraber yazılar yazmış ve bu ansiklopediden cilt </w:t>
      </w:r>
      <w:proofErr w:type="spellStart"/>
      <w:r w:rsidRPr="007F03F9">
        <w:rPr>
          <w:sz w:val="20"/>
        </w:rPr>
        <w:t>cilt</w:t>
      </w:r>
      <w:proofErr w:type="spellEnd"/>
      <w:r w:rsidRPr="007F03F9">
        <w:rPr>
          <w:sz w:val="20"/>
        </w:rPr>
        <w:t xml:space="preserve"> yayımlamışlardır. Bu filozoflardan bazıları, düşünsel ve eleştirel yayınlarının yanı sıra olay örgüsü içeren edebî türlerde de eser vermiştir. </w:t>
      </w:r>
      <w:proofErr w:type="spellStart"/>
      <w:r w:rsidRPr="007F03F9">
        <w:rPr>
          <w:sz w:val="20"/>
        </w:rPr>
        <w:t>Voltaire’in</w:t>
      </w:r>
      <w:proofErr w:type="spellEnd"/>
      <w:r w:rsidRPr="007F03F9">
        <w:rPr>
          <w:sz w:val="20"/>
        </w:rPr>
        <w:t xml:space="preserve"> “</w:t>
      </w:r>
      <w:proofErr w:type="spellStart"/>
      <w:r w:rsidRPr="009F7460">
        <w:rPr>
          <w:b/>
          <w:sz w:val="20"/>
          <w:u w:val="single"/>
        </w:rPr>
        <w:t>Candide</w:t>
      </w:r>
      <w:proofErr w:type="spellEnd"/>
      <w:r w:rsidRPr="007F03F9">
        <w:rPr>
          <w:sz w:val="20"/>
        </w:rPr>
        <w:t>” ve Rousseau’nun “</w:t>
      </w:r>
      <w:r w:rsidRPr="009F7460">
        <w:rPr>
          <w:b/>
          <w:sz w:val="20"/>
          <w:u w:val="single"/>
        </w:rPr>
        <w:t>Emile</w:t>
      </w:r>
      <w:r w:rsidRPr="007F03F9">
        <w:rPr>
          <w:sz w:val="20"/>
        </w:rPr>
        <w:t xml:space="preserve">” romanları bunların tanınmış örneklerindendir. Yazarlar, eserleriyle kültürel etkileşime hız katmış; halkın aydınlanmasına katkı sağlamış ve bu çabalar da Fransız Devrimi’nin oluşmasında etkili olmuştur. Edebiyatta “romantizm” akımını ortaya çıkarmıştır. </w:t>
      </w:r>
      <w:r w:rsidRPr="009F7460">
        <w:rPr>
          <w:b/>
          <w:sz w:val="20"/>
          <w:u w:val="single"/>
        </w:rPr>
        <w:t>Romantizm</w:t>
      </w:r>
      <w:r w:rsidRPr="007F03F9">
        <w:rPr>
          <w:sz w:val="20"/>
        </w:rPr>
        <w:t xml:space="preserve">; toplumun bütün sınıflarına hitap eden, duygu ve coşkunun önemli olduğu ve sade bir dilin kullanıldığı akımdır. 19. yy. Türk edebiyatı ve düşünce hareketini de etkilemiştir. Türk edebiyatında bu akımın temsilcileri: Namık Kemal, Ahmet Mithat, </w:t>
      </w:r>
      <w:proofErr w:type="spellStart"/>
      <w:r w:rsidRPr="007F03F9">
        <w:rPr>
          <w:sz w:val="20"/>
        </w:rPr>
        <w:t>Recaizade</w:t>
      </w:r>
      <w:proofErr w:type="spellEnd"/>
      <w:r w:rsidRPr="007F03F9">
        <w:rPr>
          <w:sz w:val="20"/>
        </w:rPr>
        <w:t xml:space="preserve"> Mahmut Ekrem, Abdülhak Hamit ve Ziya Paşa’dır. 18. </w:t>
      </w:r>
    </w:p>
    <w:p w:rsidR="007F03F9" w:rsidRPr="007F03F9" w:rsidRDefault="007F03F9" w:rsidP="00B0293A">
      <w:pPr>
        <w:spacing w:line="240" w:lineRule="auto"/>
        <w:jc w:val="both"/>
        <w:rPr>
          <w:sz w:val="20"/>
        </w:rPr>
      </w:pPr>
      <w:r w:rsidRPr="007F03F9">
        <w:rPr>
          <w:b/>
          <w:sz w:val="20"/>
          <w:u w:val="single"/>
        </w:rPr>
        <w:t>Yüzyılda Öne Çıkan Felsefi İçerikli Edebî Kitaplar</w:t>
      </w:r>
    </w:p>
    <w:p w:rsidR="007F03F9" w:rsidRPr="007F03F9" w:rsidRDefault="007F03F9" w:rsidP="00B0293A">
      <w:pPr>
        <w:spacing w:line="240" w:lineRule="auto"/>
        <w:jc w:val="both"/>
        <w:rPr>
          <w:sz w:val="20"/>
        </w:rPr>
      </w:pPr>
      <w:r w:rsidRPr="007F03F9">
        <w:rPr>
          <w:sz w:val="20"/>
        </w:rPr>
        <w:t xml:space="preserve"> • Mary </w:t>
      </w:r>
      <w:proofErr w:type="spellStart"/>
      <w:r w:rsidRPr="007F03F9">
        <w:rPr>
          <w:sz w:val="20"/>
        </w:rPr>
        <w:t>Wollstonecraft</w:t>
      </w:r>
      <w:proofErr w:type="spellEnd"/>
      <w:r w:rsidRPr="007F03F9">
        <w:rPr>
          <w:sz w:val="20"/>
        </w:rPr>
        <w:t xml:space="preserve">, Kadın Haklarının Gerekçelendirilmesi </w:t>
      </w:r>
    </w:p>
    <w:p w:rsidR="007F03F9" w:rsidRPr="007F03F9" w:rsidRDefault="007F03F9" w:rsidP="00B0293A">
      <w:pPr>
        <w:spacing w:line="240" w:lineRule="auto"/>
        <w:jc w:val="both"/>
        <w:rPr>
          <w:sz w:val="20"/>
        </w:rPr>
      </w:pPr>
      <w:r w:rsidRPr="007F03F9">
        <w:rPr>
          <w:sz w:val="20"/>
        </w:rPr>
        <w:t xml:space="preserve">• </w:t>
      </w:r>
      <w:proofErr w:type="spellStart"/>
      <w:r w:rsidRPr="007F03F9">
        <w:rPr>
          <w:sz w:val="20"/>
        </w:rPr>
        <w:t>d’Alembert</w:t>
      </w:r>
      <w:proofErr w:type="spellEnd"/>
      <w:r w:rsidRPr="007F03F9">
        <w:rPr>
          <w:sz w:val="20"/>
        </w:rPr>
        <w:t xml:space="preserve"> &amp; </w:t>
      </w:r>
      <w:proofErr w:type="spellStart"/>
      <w:r w:rsidRPr="007F03F9">
        <w:rPr>
          <w:sz w:val="20"/>
        </w:rPr>
        <w:t>Diderot</w:t>
      </w:r>
      <w:proofErr w:type="spellEnd"/>
      <w:r w:rsidRPr="007F03F9">
        <w:rPr>
          <w:sz w:val="20"/>
        </w:rPr>
        <w:t xml:space="preserve">, Ansiklopedi </w:t>
      </w:r>
    </w:p>
    <w:p w:rsidR="007F03F9" w:rsidRPr="007F03F9" w:rsidRDefault="007F03F9" w:rsidP="00B0293A">
      <w:pPr>
        <w:spacing w:line="240" w:lineRule="auto"/>
        <w:jc w:val="both"/>
        <w:rPr>
          <w:sz w:val="20"/>
        </w:rPr>
      </w:pPr>
      <w:r w:rsidRPr="007F03F9">
        <w:rPr>
          <w:sz w:val="20"/>
        </w:rPr>
        <w:t xml:space="preserve">• </w:t>
      </w:r>
      <w:proofErr w:type="spellStart"/>
      <w:r w:rsidRPr="007F03F9">
        <w:rPr>
          <w:sz w:val="20"/>
        </w:rPr>
        <w:t>Voltaire</w:t>
      </w:r>
      <w:proofErr w:type="spellEnd"/>
      <w:r w:rsidRPr="007F03F9">
        <w:rPr>
          <w:sz w:val="20"/>
        </w:rPr>
        <w:t xml:space="preserve">, </w:t>
      </w:r>
      <w:proofErr w:type="spellStart"/>
      <w:r w:rsidRPr="007F03F9">
        <w:rPr>
          <w:sz w:val="20"/>
        </w:rPr>
        <w:t>Candide</w:t>
      </w:r>
      <w:proofErr w:type="spellEnd"/>
      <w:r w:rsidRPr="007F03F9">
        <w:rPr>
          <w:sz w:val="20"/>
        </w:rPr>
        <w:t xml:space="preserve"> • </w:t>
      </w:r>
      <w:proofErr w:type="spellStart"/>
      <w:r w:rsidRPr="007F03F9">
        <w:rPr>
          <w:sz w:val="20"/>
        </w:rPr>
        <w:t>Jonathan</w:t>
      </w:r>
      <w:proofErr w:type="spellEnd"/>
      <w:r w:rsidRPr="007F03F9">
        <w:rPr>
          <w:sz w:val="20"/>
        </w:rPr>
        <w:t xml:space="preserve"> Swift, </w:t>
      </w:r>
      <w:proofErr w:type="spellStart"/>
      <w:r w:rsidRPr="007F03F9">
        <w:rPr>
          <w:sz w:val="20"/>
        </w:rPr>
        <w:t>Gulliver'in</w:t>
      </w:r>
      <w:proofErr w:type="spellEnd"/>
      <w:r w:rsidRPr="007F03F9">
        <w:rPr>
          <w:sz w:val="20"/>
        </w:rPr>
        <w:t xml:space="preserve"> Gezileri </w:t>
      </w:r>
    </w:p>
    <w:p w:rsidR="007F03F9" w:rsidRPr="007F03F9" w:rsidRDefault="007F03F9" w:rsidP="00B0293A">
      <w:pPr>
        <w:spacing w:line="240" w:lineRule="auto"/>
        <w:jc w:val="both"/>
        <w:rPr>
          <w:sz w:val="20"/>
        </w:rPr>
      </w:pPr>
      <w:r w:rsidRPr="007F03F9">
        <w:rPr>
          <w:sz w:val="20"/>
        </w:rPr>
        <w:t xml:space="preserve">• Daniel </w:t>
      </w:r>
      <w:proofErr w:type="spellStart"/>
      <w:r w:rsidRPr="007F03F9">
        <w:rPr>
          <w:sz w:val="20"/>
        </w:rPr>
        <w:t>Defoe</w:t>
      </w:r>
      <w:proofErr w:type="spellEnd"/>
      <w:r w:rsidRPr="007F03F9">
        <w:rPr>
          <w:sz w:val="20"/>
        </w:rPr>
        <w:t xml:space="preserve">, </w:t>
      </w:r>
      <w:proofErr w:type="spellStart"/>
      <w:r w:rsidRPr="007F03F9">
        <w:rPr>
          <w:sz w:val="20"/>
        </w:rPr>
        <w:t>Robinson</w:t>
      </w:r>
      <w:proofErr w:type="spellEnd"/>
      <w:r w:rsidRPr="007F03F9">
        <w:rPr>
          <w:sz w:val="20"/>
        </w:rPr>
        <w:t xml:space="preserve"> </w:t>
      </w:r>
      <w:proofErr w:type="spellStart"/>
      <w:r w:rsidRPr="007F03F9">
        <w:rPr>
          <w:sz w:val="20"/>
        </w:rPr>
        <w:t>Crusoe</w:t>
      </w:r>
      <w:proofErr w:type="spellEnd"/>
      <w:r w:rsidRPr="007F03F9">
        <w:rPr>
          <w:sz w:val="20"/>
        </w:rPr>
        <w:t xml:space="preserve"> </w:t>
      </w:r>
    </w:p>
    <w:p w:rsidR="007F03F9" w:rsidRPr="007F03F9" w:rsidRDefault="007F03F9" w:rsidP="00B0293A">
      <w:pPr>
        <w:spacing w:line="240" w:lineRule="auto"/>
        <w:jc w:val="both"/>
        <w:rPr>
          <w:sz w:val="20"/>
        </w:rPr>
      </w:pPr>
      <w:r w:rsidRPr="007F03F9">
        <w:rPr>
          <w:sz w:val="20"/>
        </w:rPr>
        <w:t xml:space="preserve">• Goethe, Genç </w:t>
      </w:r>
      <w:proofErr w:type="spellStart"/>
      <w:r w:rsidRPr="007F03F9">
        <w:rPr>
          <w:sz w:val="20"/>
        </w:rPr>
        <w:t>Werther'in</w:t>
      </w:r>
      <w:proofErr w:type="spellEnd"/>
      <w:r w:rsidRPr="007F03F9">
        <w:rPr>
          <w:sz w:val="20"/>
        </w:rPr>
        <w:t xml:space="preserve"> Acıları </w:t>
      </w:r>
    </w:p>
    <w:p w:rsidR="007F03F9" w:rsidRPr="007F03F9" w:rsidRDefault="007F03F9" w:rsidP="00B0293A">
      <w:pPr>
        <w:spacing w:line="240" w:lineRule="auto"/>
        <w:jc w:val="both"/>
        <w:rPr>
          <w:sz w:val="20"/>
        </w:rPr>
      </w:pPr>
      <w:r w:rsidRPr="007F03F9">
        <w:rPr>
          <w:sz w:val="20"/>
        </w:rPr>
        <w:t xml:space="preserve">• </w:t>
      </w:r>
      <w:proofErr w:type="spellStart"/>
      <w:r w:rsidRPr="007F03F9">
        <w:rPr>
          <w:sz w:val="20"/>
        </w:rPr>
        <w:t>Samuel</w:t>
      </w:r>
      <w:proofErr w:type="spellEnd"/>
      <w:r w:rsidRPr="007F03F9">
        <w:rPr>
          <w:sz w:val="20"/>
        </w:rPr>
        <w:t xml:space="preserve"> Johnson, İngilizce Sözlük </w:t>
      </w:r>
    </w:p>
    <w:p w:rsidR="007F03F9" w:rsidRPr="007F03F9" w:rsidRDefault="007F03F9" w:rsidP="00B0293A">
      <w:pPr>
        <w:spacing w:line="240" w:lineRule="auto"/>
        <w:jc w:val="both"/>
        <w:rPr>
          <w:sz w:val="20"/>
        </w:rPr>
      </w:pPr>
      <w:r w:rsidRPr="007F03F9">
        <w:rPr>
          <w:sz w:val="20"/>
        </w:rPr>
        <w:t xml:space="preserve">• Rousseau, Emile </w:t>
      </w:r>
    </w:p>
    <w:p w:rsidR="007F03F9" w:rsidRPr="007F03F9" w:rsidRDefault="007F03F9" w:rsidP="00B0293A">
      <w:pPr>
        <w:spacing w:line="240" w:lineRule="auto"/>
        <w:jc w:val="both"/>
        <w:rPr>
          <w:sz w:val="20"/>
        </w:rPr>
      </w:pPr>
      <w:r w:rsidRPr="007F03F9">
        <w:rPr>
          <w:sz w:val="20"/>
        </w:rPr>
        <w:t xml:space="preserve">• G. E. Lessing, İnsan Soyunun Eğitimi Aydınlanma, Din ve Eğitim </w:t>
      </w:r>
    </w:p>
    <w:p w:rsidR="00A20D79" w:rsidRPr="007F03F9" w:rsidRDefault="007F03F9" w:rsidP="00B0293A">
      <w:pPr>
        <w:spacing w:line="240" w:lineRule="auto"/>
        <w:jc w:val="both"/>
        <w:rPr>
          <w:sz w:val="20"/>
        </w:rPr>
      </w:pPr>
      <w:r w:rsidRPr="007F03F9">
        <w:rPr>
          <w:sz w:val="20"/>
        </w:rPr>
        <w:t xml:space="preserve">• Pierre </w:t>
      </w:r>
      <w:proofErr w:type="spellStart"/>
      <w:r w:rsidRPr="007F03F9">
        <w:rPr>
          <w:sz w:val="20"/>
        </w:rPr>
        <w:t>Caron</w:t>
      </w:r>
      <w:proofErr w:type="spellEnd"/>
      <w:r w:rsidRPr="007F03F9">
        <w:rPr>
          <w:sz w:val="20"/>
        </w:rPr>
        <w:t xml:space="preserve"> de </w:t>
      </w:r>
      <w:proofErr w:type="spellStart"/>
      <w:r w:rsidRPr="007F03F9">
        <w:rPr>
          <w:sz w:val="20"/>
        </w:rPr>
        <w:t>Beaumarchais</w:t>
      </w:r>
      <w:proofErr w:type="spellEnd"/>
      <w:r w:rsidRPr="007F03F9">
        <w:rPr>
          <w:sz w:val="20"/>
        </w:rPr>
        <w:t>, Figaro’nun Düğünü</w:t>
      </w:r>
    </w:p>
    <w:sectPr w:rsidR="00A20D79" w:rsidRPr="007F03F9" w:rsidSect="007F03F9">
      <w:headerReference w:type="even" r:id="rId7"/>
      <w:headerReference w:type="default" r:id="rId8"/>
      <w:footerReference w:type="even" r:id="rId9"/>
      <w:footerReference w:type="default" r:id="rId10"/>
      <w:headerReference w:type="first" r:id="rId11"/>
      <w:footerReference w:type="first" r:id="rId12"/>
      <w:pgSz w:w="11906" w:h="16838"/>
      <w:pgMar w:top="325" w:right="566" w:bottom="1417" w:left="567" w:header="563" w:footer="708" w:gutter="0"/>
      <w:cols w:num="2" w:sep="1" w:space="283"/>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512F2" w:rsidRDefault="007512F2" w:rsidP="007F03F9">
      <w:pPr>
        <w:spacing w:after="0" w:line="240" w:lineRule="auto"/>
      </w:pPr>
      <w:r>
        <w:separator/>
      </w:r>
    </w:p>
  </w:endnote>
  <w:endnote w:type="continuationSeparator" w:id="0">
    <w:p w:rsidR="007512F2" w:rsidRDefault="007512F2" w:rsidP="007F03F9">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A2"/>
    <w:family w:val="swiss"/>
    <w:pitch w:val="variable"/>
    <w:sig w:usb0="E00002FF" w:usb1="4000ACFF" w:usb2="00000001" w:usb3="00000000" w:csb0="0000019F" w:csb1="00000000"/>
  </w:font>
  <w:font w:name="Times New Roman">
    <w:panose1 w:val="02020603050405020304"/>
    <w:charset w:val="A2"/>
    <w:family w:val="roman"/>
    <w:pitch w:val="variable"/>
    <w:sig w:usb0="E0002EFF" w:usb1="C0007843" w:usb2="00000009" w:usb3="00000000" w:csb0="000001FF" w:csb1="00000000"/>
  </w:font>
  <w:font w:name="Tahoma">
    <w:panose1 w:val="020B0604030504040204"/>
    <w:charset w:val="A2"/>
    <w:family w:val="swiss"/>
    <w:pitch w:val="variable"/>
    <w:sig w:usb0="E1002EFF" w:usb1="C000605B" w:usb2="00000029" w:usb3="00000000" w:csb0="000101FF" w:csb1="00000000"/>
  </w:font>
  <w:font w:name="Cambria">
    <w:panose1 w:val="02040503050406030204"/>
    <w:charset w:val="A2"/>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3C2" w:rsidRDefault="009723C2">
    <w:pPr>
      <w:pStyle w:val="Altbilgi"/>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3C2" w:rsidRDefault="009723C2">
    <w:pPr>
      <w:pStyle w:val="Altbilgi"/>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3C2" w:rsidRDefault="009723C2">
    <w:pPr>
      <w:pStyle w:val="Altbilgi"/>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512F2" w:rsidRDefault="007512F2" w:rsidP="007F03F9">
      <w:pPr>
        <w:spacing w:after="0" w:line="240" w:lineRule="auto"/>
      </w:pPr>
      <w:r>
        <w:separator/>
      </w:r>
    </w:p>
  </w:footnote>
  <w:footnote w:type="continuationSeparator" w:id="0">
    <w:p w:rsidR="007512F2" w:rsidRDefault="007512F2" w:rsidP="007F03F9">
      <w:pPr>
        <w:spacing w:after="0" w:line="240" w:lineRule="auto"/>
      </w:pPr>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3C2" w:rsidRDefault="009723C2">
    <w:pPr>
      <w:pStyle w:val="stbilgi"/>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7F03F9" w:rsidRDefault="007F03F9" w:rsidP="009723C2">
    <w:pPr>
      <w:spacing w:after="0" w:line="240" w:lineRule="auto"/>
      <w:jc w:val="center"/>
      <w:rPr>
        <w:b/>
        <w:sz w:val="24"/>
        <w:u w:val="single"/>
      </w:rPr>
    </w:pPr>
    <w:r w:rsidRPr="00B0293A">
      <w:rPr>
        <w:b/>
        <w:sz w:val="24"/>
        <w:u w:val="single"/>
      </w:rPr>
      <w:t>11. SINIF FELSEFE DERSİ 4. ÜNİTE - 18.YÜZYIL-19. YÜZYIL FELSEFESİ- ÖZETİ</w:t>
    </w:r>
  </w:p>
  <w:p w:rsidR="009723C2" w:rsidRPr="00B0293A" w:rsidRDefault="009723C2" w:rsidP="009723C2">
    <w:pPr>
      <w:spacing w:after="0" w:line="240" w:lineRule="auto"/>
      <w:jc w:val="center"/>
      <w:rPr>
        <w:b/>
        <w:sz w:val="24"/>
        <w:u w:val="single"/>
      </w:rPr>
    </w:pPr>
    <w:r>
      <w:rPr>
        <w:b/>
        <w:sz w:val="24"/>
        <w:u w:val="single"/>
      </w:rPr>
      <w:t>--------------------------------------------------------------------------------------------------------------------------------------------------</w:t>
    </w:r>
    <w:bookmarkStart w:id="0" w:name="_GoBack"/>
    <w:bookmarkEnd w:id="0"/>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9723C2" w:rsidRDefault="009723C2">
    <w:pPr>
      <w:pStyle w:val="stbilgi"/>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hyphenationZone w:val="425"/>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DE41F3"/>
    <w:rsid w:val="000C2E19"/>
    <w:rsid w:val="007512F2"/>
    <w:rsid w:val="007F03F9"/>
    <w:rsid w:val="009723C2"/>
    <w:rsid w:val="009C41C9"/>
    <w:rsid w:val="009C47FD"/>
    <w:rsid w:val="009F7460"/>
    <w:rsid w:val="00A20D79"/>
    <w:rsid w:val="00B0293A"/>
    <w:rsid w:val="00DE41F3"/>
  </w:rsids>
  <m:mathPr>
    <m:mathFont m:val="Cambria Math"/>
    <m:brkBin m:val="before"/>
    <m:brkBinSub m:val="--"/>
    <m:smallFrac m:val="0"/>
    <m:dispDef/>
    <m:lMargin m:val="0"/>
    <m:rMargin m:val="0"/>
    <m:defJc m:val="centerGroup"/>
    <m:wrapIndent m:val="1440"/>
    <m:intLim m:val="subSup"/>
    <m:naryLim m:val="undOvr"/>
  </m:mathPr>
  <w:themeFontLang w:val="tr-TR"/>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F03F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F03F9"/>
  </w:style>
  <w:style w:type="paragraph" w:styleId="Altbilgi">
    <w:name w:val="footer"/>
    <w:basedOn w:val="Normal"/>
    <w:link w:val="AltbilgiChar"/>
    <w:uiPriority w:val="99"/>
    <w:unhideWhenUsed/>
    <w:rsid w:val="007F03F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F03F9"/>
  </w:style>
  <w:style w:type="paragraph" w:styleId="BalonMetni">
    <w:name w:val="Balloon Text"/>
    <w:basedOn w:val="Normal"/>
    <w:link w:val="BalonMetniChar"/>
    <w:uiPriority w:val="99"/>
    <w:semiHidden/>
    <w:unhideWhenUsed/>
    <w:rsid w:val="007F03F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F03F9"/>
    <w:rPr>
      <w:rFonts w:ascii="Tahoma" w:hAnsi="Tahoma" w:cs="Tahoma"/>
      <w:sz w:val="16"/>
      <w:szCs w:val="16"/>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tr-TR"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qFormat/>
  </w:style>
  <w:style w:type="character" w:default="1" w:styleId="VarsaylanParagrafYazTipi">
    <w:name w:val="Default Paragraph Font"/>
    <w:uiPriority w:val="1"/>
    <w:semiHidden/>
    <w:unhideWhenUsed/>
  </w:style>
  <w:style w:type="table" w:default="1" w:styleId="NormalTablo">
    <w:name w:val="Normal Table"/>
    <w:uiPriority w:val="99"/>
    <w:semiHidden/>
    <w:unhideWhenUsed/>
    <w:tblPr>
      <w:tblInd w:w="0" w:type="dxa"/>
      <w:tblCellMar>
        <w:top w:w="0" w:type="dxa"/>
        <w:left w:w="108" w:type="dxa"/>
        <w:bottom w:w="0" w:type="dxa"/>
        <w:right w:w="108" w:type="dxa"/>
      </w:tblCellMar>
    </w:tblPr>
  </w:style>
  <w:style w:type="numbering" w:default="1" w:styleId="ListeYok">
    <w:name w:val="No List"/>
    <w:uiPriority w:val="99"/>
    <w:semiHidden/>
    <w:unhideWhenUsed/>
  </w:style>
  <w:style w:type="paragraph" w:styleId="stbilgi">
    <w:name w:val="header"/>
    <w:basedOn w:val="Normal"/>
    <w:link w:val="stbilgiChar"/>
    <w:uiPriority w:val="99"/>
    <w:unhideWhenUsed/>
    <w:rsid w:val="007F03F9"/>
    <w:pPr>
      <w:tabs>
        <w:tab w:val="center" w:pos="4536"/>
        <w:tab w:val="right" w:pos="9072"/>
      </w:tabs>
      <w:spacing w:after="0" w:line="240" w:lineRule="auto"/>
    </w:pPr>
  </w:style>
  <w:style w:type="character" w:customStyle="1" w:styleId="stbilgiChar">
    <w:name w:val="Üstbilgi Char"/>
    <w:basedOn w:val="VarsaylanParagrafYazTipi"/>
    <w:link w:val="stbilgi"/>
    <w:uiPriority w:val="99"/>
    <w:rsid w:val="007F03F9"/>
  </w:style>
  <w:style w:type="paragraph" w:styleId="Altbilgi">
    <w:name w:val="footer"/>
    <w:basedOn w:val="Normal"/>
    <w:link w:val="AltbilgiChar"/>
    <w:uiPriority w:val="99"/>
    <w:unhideWhenUsed/>
    <w:rsid w:val="007F03F9"/>
    <w:pPr>
      <w:tabs>
        <w:tab w:val="center" w:pos="4536"/>
        <w:tab w:val="right" w:pos="9072"/>
      </w:tabs>
      <w:spacing w:after="0" w:line="240" w:lineRule="auto"/>
    </w:pPr>
  </w:style>
  <w:style w:type="character" w:customStyle="1" w:styleId="AltbilgiChar">
    <w:name w:val="Altbilgi Char"/>
    <w:basedOn w:val="VarsaylanParagrafYazTipi"/>
    <w:link w:val="Altbilgi"/>
    <w:uiPriority w:val="99"/>
    <w:rsid w:val="007F03F9"/>
  </w:style>
  <w:style w:type="paragraph" w:styleId="BalonMetni">
    <w:name w:val="Balloon Text"/>
    <w:basedOn w:val="Normal"/>
    <w:link w:val="BalonMetniChar"/>
    <w:uiPriority w:val="99"/>
    <w:semiHidden/>
    <w:unhideWhenUsed/>
    <w:rsid w:val="007F03F9"/>
    <w:pPr>
      <w:spacing w:after="0" w:line="240" w:lineRule="auto"/>
    </w:pPr>
    <w:rPr>
      <w:rFonts w:ascii="Tahoma" w:hAnsi="Tahoma" w:cs="Tahoma"/>
      <w:sz w:val="16"/>
      <w:szCs w:val="16"/>
    </w:rPr>
  </w:style>
  <w:style w:type="character" w:customStyle="1" w:styleId="BalonMetniChar">
    <w:name w:val="Balon Metni Char"/>
    <w:basedOn w:val="VarsaylanParagrafYazTipi"/>
    <w:link w:val="BalonMetni"/>
    <w:uiPriority w:val="99"/>
    <w:semiHidden/>
    <w:rsid w:val="007F03F9"/>
    <w:rPr>
      <w:rFonts w:ascii="Tahoma" w:hAnsi="Tahoma" w:cs="Tahoma"/>
      <w:sz w:val="16"/>
      <w:szCs w:val="16"/>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allowPNG/>
</w:webSettings>
</file>

<file path=word/_rels/document.xml.rels><?xml version="1.0" encoding="UTF-8" standalone="yes"?>
<Relationships xmlns="http://schemas.openxmlformats.org/package/2006/relationships"><Relationship Id="rId8" Type="http://schemas.openxmlformats.org/officeDocument/2006/relationships/header" Target="header2.xml"/><Relationship Id="rId13"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12" Type="http://schemas.openxmlformats.org/officeDocument/2006/relationships/footer" Target="footer3.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11" Type="http://schemas.openxmlformats.org/officeDocument/2006/relationships/header" Target="header3.xml"/><Relationship Id="rId5" Type="http://schemas.openxmlformats.org/officeDocument/2006/relationships/footnotes" Target="footnotes.xml"/><Relationship Id="rId10" Type="http://schemas.openxmlformats.org/officeDocument/2006/relationships/footer" Target="footer2.xml"/><Relationship Id="rId4" Type="http://schemas.openxmlformats.org/officeDocument/2006/relationships/webSettings" Target="webSettings.xml"/><Relationship Id="rId9" Type="http://schemas.openxmlformats.org/officeDocument/2006/relationships/footer" Target="footer1.xml"/><Relationship Id="rId14" Type="http://schemas.openxmlformats.org/officeDocument/2006/relationships/theme" Target="theme/theme1.xml"/></Relationships>
</file>

<file path=word/theme/theme1.xml><?xml version="1.0" encoding="utf-8"?>
<a:theme xmlns:a="http://schemas.openxmlformats.org/drawingml/2006/main" name="Ofis Teması">
  <a:themeElements>
    <a:clrScheme name="Ofis">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is">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is">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28</TotalTime>
  <Pages>2</Pages>
  <Words>1785</Words>
  <Characters>10176</Characters>
  <Application>Microsoft Office Word</Application>
  <DocSecurity>0</DocSecurity>
  <Lines>84</Lines>
  <Paragraphs>23</Paragraphs>
  <ScaleCrop>false</ScaleCrop>
  <HeadingPairs>
    <vt:vector size="2" baseType="variant">
      <vt:variant>
        <vt:lpstr>Konu Başlığı</vt:lpstr>
      </vt:variant>
      <vt:variant>
        <vt:i4>1</vt:i4>
      </vt:variant>
    </vt:vector>
  </HeadingPairs>
  <TitlesOfParts>
    <vt:vector size="1" baseType="lpstr">
      <vt:lpstr/>
    </vt:vector>
  </TitlesOfParts>
  <Company>MoTuN</Company>
  <LinksUpToDate>false</LinksUpToDate>
  <CharactersWithSpaces>11938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PRO2000</dc:creator>
  <cp:keywords/>
  <dc:description/>
  <cp:lastModifiedBy>PRO2000</cp:lastModifiedBy>
  <cp:revision>8</cp:revision>
  <dcterms:created xsi:type="dcterms:W3CDTF">2019-02-05T18:18:00Z</dcterms:created>
  <dcterms:modified xsi:type="dcterms:W3CDTF">2019-02-05T18:46:00Z</dcterms:modified>
</cp:coreProperties>
</file>