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F1C" w:rsidRPr="00847DAC" w:rsidRDefault="00492F1C" w:rsidP="00492F1C">
      <w:pPr>
        <w:pStyle w:val="AralkYok"/>
        <w:jc w:val="center"/>
        <w:rPr>
          <w:rFonts w:asciiTheme="majorHAnsi" w:hAnsiTheme="majorHAnsi" w:cs="Times New Roman"/>
          <w:b/>
          <w:color w:val="002060"/>
          <w:sz w:val="28"/>
          <w:szCs w:val="24"/>
        </w:rPr>
      </w:pPr>
      <w:r w:rsidRPr="00847DAC">
        <w:rPr>
          <w:rFonts w:asciiTheme="majorHAnsi" w:hAnsiTheme="majorHAnsi" w:cs="Times New Roman"/>
          <w:b/>
          <w:color w:val="002060"/>
          <w:sz w:val="28"/>
          <w:szCs w:val="24"/>
        </w:rPr>
        <w:t>2020- 2021 EĞİTİM ÖĞRETİM YILI</w:t>
      </w:r>
    </w:p>
    <w:p w:rsidR="00C44661" w:rsidRPr="00847DAC" w:rsidRDefault="00492F1C" w:rsidP="00811D20">
      <w:pPr>
        <w:pStyle w:val="AralkYok"/>
        <w:jc w:val="center"/>
        <w:rPr>
          <w:rFonts w:asciiTheme="majorHAnsi" w:hAnsiTheme="majorHAnsi" w:cs="Times New Roman"/>
          <w:b/>
          <w:color w:val="002060"/>
          <w:sz w:val="28"/>
          <w:szCs w:val="24"/>
        </w:rPr>
      </w:pPr>
      <w:r w:rsidRPr="00847DAC">
        <w:rPr>
          <w:rFonts w:asciiTheme="majorHAnsi" w:hAnsiTheme="majorHAnsi" w:cs="Times New Roman"/>
          <w:b/>
          <w:color w:val="002060"/>
          <w:sz w:val="28"/>
          <w:szCs w:val="24"/>
        </w:rPr>
        <w:t xml:space="preserve">ŞİNASİ İLKOKULU </w:t>
      </w:r>
      <w:r w:rsidR="00D31187" w:rsidRPr="00847DAC">
        <w:rPr>
          <w:rFonts w:asciiTheme="majorHAnsi" w:hAnsiTheme="majorHAnsi" w:cs="Times New Roman"/>
          <w:b/>
          <w:color w:val="002060"/>
          <w:sz w:val="28"/>
          <w:szCs w:val="24"/>
        </w:rPr>
        <w:t xml:space="preserve">4. SINIFLAR </w:t>
      </w:r>
      <w:r w:rsidRPr="00847DAC">
        <w:rPr>
          <w:rFonts w:asciiTheme="majorHAnsi" w:hAnsiTheme="majorHAnsi" w:cs="Times New Roman"/>
          <w:b/>
          <w:color w:val="002060"/>
          <w:sz w:val="28"/>
          <w:szCs w:val="24"/>
        </w:rPr>
        <w:t xml:space="preserve">TELAFİ EĞİTİMİ PLANI </w:t>
      </w:r>
    </w:p>
    <w:p w:rsidR="002530AF" w:rsidRPr="00483F91" w:rsidRDefault="002530AF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6"/>
        <w:gridCol w:w="1590"/>
        <w:gridCol w:w="1535"/>
        <w:gridCol w:w="1603"/>
        <w:gridCol w:w="1537"/>
        <w:gridCol w:w="1799"/>
      </w:tblGrid>
      <w:tr w:rsidR="00483F91" w:rsidRPr="00483F91" w:rsidTr="00C42C82">
        <w:tc>
          <w:tcPr>
            <w:tcW w:w="9840" w:type="dxa"/>
            <w:gridSpan w:val="6"/>
            <w:shd w:val="clear" w:color="auto" w:fill="FFFF00"/>
          </w:tcPr>
          <w:p w:rsidR="00811D20" w:rsidRPr="00483F91" w:rsidRDefault="003929FB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811D20" w:rsidRPr="00483F91">
                <w:rPr>
                  <w:rStyle w:val="Kpr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1. HAFTA (31 AĞUSTOS - 4 EYLÜL)</w:t>
              </w:r>
            </w:hyperlink>
          </w:p>
        </w:tc>
      </w:tr>
      <w:tr w:rsidR="00C44661" w:rsidTr="00C42C82">
        <w:tc>
          <w:tcPr>
            <w:tcW w:w="1776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DERSLER</w:t>
            </w:r>
          </w:p>
        </w:tc>
        <w:tc>
          <w:tcPr>
            <w:tcW w:w="1590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PAZARTESİ</w:t>
            </w:r>
          </w:p>
        </w:tc>
        <w:tc>
          <w:tcPr>
            <w:tcW w:w="1535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SALI </w:t>
            </w:r>
          </w:p>
        </w:tc>
        <w:tc>
          <w:tcPr>
            <w:tcW w:w="1603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ÇARŞAMBA</w:t>
            </w:r>
          </w:p>
        </w:tc>
        <w:tc>
          <w:tcPr>
            <w:tcW w:w="1537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PERŞEMBE</w:t>
            </w:r>
          </w:p>
        </w:tc>
        <w:tc>
          <w:tcPr>
            <w:tcW w:w="1799" w:type="dxa"/>
            <w:shd w:val="clear" w:color="auto" w:fill="FFFF00"/>
          </w:tcPr>
          <w:p w:rsidR="00811D20" w:rsidRPr="00602096" w:rsidRDefault="00811D20" w:rsidP="00811D20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CUMA</w:t>
            </w:r>
          </w:p>
        </w:tc>
      </w:tr>
      <w:tr w:rsidR="00C44661" w:rsidTr="00C42C82">
        <w:tc>
          <w:tcPr>
            <w:tcW w:w="1776" w:type="dxa"/>
            <w:shd w:val="clear" w:color="auto" w:fill="FFFF00"/>
            <w:vAlign w:val="center"/>
          </w:tcPr>
          <w:p w:rsidR="00811D20" w:rsidRPr="005421CC" w:rsidRDefault="00811D20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1.DERS</w:t>
            </w:r>
            <w:r w:rsidRPr="005421CC">
              <w:rPr>
                <w:rFonts w:ascii="Times New Roman" w:hAnsi="Times New Roman" w:cs="Times New Roman"/>
                <w:b/>
                <w:sz w:val="24"/>
                <w:szCs w:val="24"/>
              </w:rPr>
              <w:t>: TÜRKÇE</w:t>
            </w:r>
          </w:p>
        </w:tc>
        <w:tc>
          <w:tcPr>
            <w:tcW w:w="1590" w:type="dxa"/>
          </w:tcPr>
          <w:p w:rsidR="00602096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T.4.2.1. Kelimeleri anlamlarına uygun kullanır.</w:t>
            </w:r>
          </w:p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T.4.3.28. Okudukları ile ilgili çıkarımlar yapar.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T.4.4.10. Büyük harfleri ve noktalama işaretlerini uygun yerlerde kullanır.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602096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T.4.2.1. Kelimeleri anlamlarına uygun kullanır.</w:t>
            </w:r>
          </w:p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T.4.3.28. Okudukları ile ilgili çıkarımlar yapar.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T.4.3.23. Metin türlerini ayırt eder.</w:t>
            </w:r>
          </w:p>
          <w:p w:rsidR="00602096" w:rsidRPr="006B2418" w:rsidRDefault="00602096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T.4.3.28. Okudukları ile ilgili çıkarımlar yapar.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T.4.4.8. Yazdıklarında yabancı dillerden alınmış, dilimize henüz yerleşmemiş kelimelerin Türkçelerini kullanır.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C44661" w:rsidTr="00C42C82">
        <w:tc>
          <w:tcPr>
            <w:tcW w:w="1776" w:type="dxa"/>
            <w:shd w:val="clear" w:color="auto" w:fill="FFFF00"/>
            <w:vAlign w:val="center"/>
          </w:tcPr>
          <w:p w:rsidR="00811D20" w:rsidRPr="005421CC" w:rsidRDefault="00811D20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2.DERS:</w:t>
            </w:r>
          </w:p>
          <w:p w:rsidR="00811D20" w:rsidRPr="005421CC" w:rsidRDefault="00811D20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sz w:val="24"/>
                <w:szCs w:val="24"/>
              </w:rPr>
              <w:t>MATEMATİK</w:t>
            </w:r>
          </w:p>
        </w:tc>
        <w:tc>
          <w:tcPr>
            <w:tcW w:w="1590" w:type="dxa"/>
          </w:tcPr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M.4.2.1.1.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Üçgen, kare ve dikdörtgenin kenarlarını ve köşelerini isimlendirir. </w:t>
            </w: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M.4.2.1.2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. Kare ve dikdörtgenin kenar özelliklerini belirler. </w:t>
            </w:r>
          </w:p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M.4.2.1.3.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Üçgenleri kenar uzunluklarına göre sınıflandırır.</w:t>
            </w: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M.4.2.1.4.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Açınımı verilen küpü oluşturur. 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M.4.2.1.5.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>İzometrik</w:t>
            </w:r>
            <w:proofErr w:type="spellEnd"/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ya da kareli </w:t>
            </w:r>
            <w:proofErr w:type="gramStart"/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>kağıda</w:t>
            </w:r>
            <w:proofErr w:type="gramEnd"/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eş küplerle çizilmiş olarak verilen modellere uygun basit yapılar oluşturur.</w:t>
            </w: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M.4.2.3.2.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Açıyı oluşturan ışınları ve köşeyi belirler, açıyı isimlendirir ve sembolle gösterir. 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M.4.2.3.3.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Açıları, standart olmayan birimlerle ölçer ve standart ölçme birimlerinin gerekliliğini açıklar.</w:t>
            </w:r>
          </w:p>
          <w:p w:rsidR="00906B62" w:rsidRPr="006B2418" w:rsidRDefault="00906B62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M.4.2.3.4.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Açıları standart açı ölçme araçlarıyla ölçerek dar, dik, geniş ve doğru açı olarak belirler.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C44661" w:rsidRPr="006B2418" w:rsidRDefault="00C44661" w:rsidP="00C44661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M.4.2.3.5.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Standart açı ölçme araçları kullanarak ölçüsü verilen açıyı oluşturur.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C44661" w:rsidTr="00C42C82">
        <w:tc>
          <w:tcPr>
            <w:tcW w:w="1776" w:type="dxa"/>
            <w:shd w:val="clear" w:color="auto" w:fill="FFFF00"/>
            <w:vAlign w:val="center"/>
          </w:tcPr>
          <w:p w:rsidR="00811D20" w:rsidRPr="005421CC" w:rsidRDefault="00811D20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3.DERS: </w:t>
            </w:r>
            <w:r w:rsidRPr="005421CC">
              <w:rPr>
                <w:rFonts w:ascii="Times New Roman" w:hAnsi="Times New Roman" w:cs="Times New Roman"/>
                <w:b/>
                <w:sz w:val="24"/>
                <w:szCs w:val="24"/>
              </w:rPr>
              <w:t>FEN BİLİMLERİ</w:t>
            </w:r>
          </w:p>
        </w:tc>
        <w:tc>
          <w:tcPr>
            <w:tcW w:w="1590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F.4.5.2.1. Uygun aydınlatma hakkında araştırma yapar.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F.4.5.2.2. Aydınlatma araçlarının tasarruflu kullanımının aile ve ülke ekonomisi bakımından önemini tartışır.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602096" w:rsidRPr="006B2418" w:rsidRDefault="00906B62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F.4.5.3.1. Işık kirliliğinin nedenlerini sorgular.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F.4.5.3.2. Işık kirliliğinin, doğal hayata ve gök cisimlerinin gözlenmesine olan olumsuz etkilerini açıklar.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1D20" w:rsidRPr="006B2418" w:rsidRDefault="00906B62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F.4.5.3.3. Işık kirliliğini azaltmaya yönelik çözümler üretir.</w:t>
            </w:r>
          </w:p>
        </w:tc>
        <w:tc>
          <w:tcPr>
            <w:tcW w:w="1537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F.4.5.4.1. Geçmişte ve günümüzde kullanılan ses teknolojilerini karşılaştırır.</w:t>
            </w:r>
          </w:p>
          <w:p w:rsidR="00811D20" w:rsidRPr="006B2418" w:rsidRDefault="00811D20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99" w:type="dxa"/>
          </w:tcPr>
          <w:p w:rsidR="00602096" w:rsidRPr="006B2418" w:rsidRDefault="00791057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F.4.5.4.2. Şiddetli sese sahip teknolojik araçların olumlu ve olumsuz etkilerini araştırır</w:t>
            </w:r>
            <w:r w:rsidR="00602096"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</w:t>
            </w:r>
          </w:p>
          <w:p w:rsidR="00602096" w:rsidRPr="006B2418" w:rsidRDefault="00602096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  <w:p w:rsidR="00811D20" w:rsidRPr="006B2418" w:rsidRDefault="00906B62" w:rsidP="00906B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F.4.5.5.1. Ses kirliliğinin nedenlerini sorgular.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</w:tc>
      </w:tr>
      <w:tr w:rsidR="00C42C82" w:rsidTr="00C42C82">
        <w:tc>
          <w:tcPr>
            <w:tcW w:w="1776" w:type="dxa"/>
            <w:shd w:val="clear" w:color="auto" w:fill="FFFF00"/>
            <w:vAlign w:val="center"/>
          </w:tcPr>
          <w:p w:rsidR="00C42C82" w:rsidRPr="005421CC" w:rsidRDefault="00C42C82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4.DERS:</w:t>
            </w:r>
          </w:p>
          <w:p w:rsidR="00C42C82" w:rsidRDefault="00C42C82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CC">
              <w:rPr>
                <w:rFonts w:ascii="Times New Roman" w:hAnsi="Times New Roman" w:cs="Times New Roman"/>
                <w:b/>
                <w:sz w:val="24"/>
                <w:szCs w:val="24"/>
              </w:rPr>
              <w:t>SOSYAL BİLGİLER</w:t>
            </w:r>
          </w:p>
          <w:p w:rsidR="00C42C82" w:rsidRPr="005421CC" w:rsidRDefault="00C42C82" w:rsidP="00C649D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(Hayat Bilgisi)</w:t>
            </w:r>
          </w:p>
        </w:tc>
        <w:tc>
          <w:tcPr>
            <w:tcW w:w="1590" w:type="dxa"/>
          </w:tcPr>
          <w:p w:rsidR="00C42C82" w:rsidRPr="006B2418" w:rsidRDefault="00C42C82" w:rsidP="00C42C82">
            <w:pPr>
              <w:jc w:val="center"/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HB.3.5.7. Ülkemizde yaşayan farklı kültürdeki insanların sorunlarına yönelik sosyal sorumluluk projelerine katılır.</w:t>
            </w:r>
          </w:p>
          <w:p w:rsidR="00C42C82" w:rsidRPr="006B2418" w:rsidRDefault="00C42C82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42C82" w:rsidRPr="006B2418" w:rsidRDefault="00C42C82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HB.3.5.8. Atatürk’ün kişilik özelliklerini araştırır.</w:t>
            </w:r>
          </w:p>
          <w:p w:rsidR="00C42C82" w:rsidRPr="006B2418" w:rsidRDefault="00C42C82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</w:tcPr>
          <w:p w:rsidR="00C42C82" w:rsidRPr="006B2418" w:rsidRDefault="00C42C82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HB.3.5.9. Yaptığı çalışmalarla ülkemize katkıda bulunmuş kişileri araştırır.</w:t>
            </w:r>
          </w:p>
        </w:tc>
        <w:tc>
          <w:tcPr>
            <w:tcW w:w="1537" w:type="dxa"/>
          </w:tcPr>
          <w:p w:rsidR="00C42C82" w:rsidRPr="006B2418" w:rsidRDefault="00C42C82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HB.3.5.9. Yaptığı çalışmalarla ülkemize katkıda bulunmuş kişileri araştırır.</w:t>
            </w:r>
          </w:p>
        </w:tc>
        <w:tc>
          <w:tcPr>
            <w:tcW w:w="1799" w:type="dxa"/>
          </w:tcPr>
          <w:p w:rsidR="00C42C82" w:rsidRPr="006B2418" w:rsidRDefault="00C42C82" w:rsidP="00811D20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HB.3.6.1. İnsan yaşamı açısından bitki ve hayvanların önemini kavrar.</w:t>
            </w:r>
          </w:p>
        </w:tc>
      </w:tr>
      <w:tr w:rsidR="00C42C82" w:rsidTr="00C42C82">
        <w:tc>
          <w:tcPr>
            <w:tcW w:w="9840" w:type="dxa"/>
            <w:gridSpan w:val="6"/>
          </w:tcPr>
          <w:p w:rsidR="00C42C82" w:rsidRPr="006B2418" w:rsidRDefault="00C42C82" w:rsidP="00492F1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 xml:space="preserve">Sadece mihver dersler işlenecek olup Trafik Güvenliği, İnsan Hakları, Yurttaşlık ve Demokrasi, Beden Eğitimi ve Oyun, Görsel Sanatlar, Müzik derslerin kazanımları mihver derslerle ilişkiler kurularak yer verilecektir. </w:t>
            </w:r>
          </w:p>
          <w:p w:rsidR="00C42C82" w:rsidRPr="006B2418" w:rsidRDefault="00C42C82" w:rsidP="00492F1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 xml:space="preserve">Ders araları da evde spor ile geçirilecektir. </w:t>
            </w:r>
          </w:p>
        </w:tc>
      </w:tr>
    </w:tbl>
    <w:p w:rsidR="00811D20" w:rsidRDefault="00811D20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C44661" w:rsidRDefault="00C44661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C649DD" w:rsidRDefault="00C649DD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6"/>
        <w:gridCol w:w="1590"/>
        <w:gridCol w:w="1518"/>
        <w:gridCol w:w="2745"/>
        <w:gridCol w:w="1537"/>
        <w:gridCol w:w="1516"/>
      </w:tblGrid>
      <w:tr w:rsidR="00C44661" w:rsidTr="00492F1C">
        <w:tc>
          <w:tcPr>
            <w:tcW w:w="9212" w:type="dxa"/>
            <w:gridSpan w:val="6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2. HAFTA (7 EYLÜL – 11 EYLÜL)</w:t>
            </w:r>
          </w:p>
        </w:tc>
      </w:tr>
      <w:tr w:rsidR="00C44661" w:rsidTr="00492F1C">
        <w:tc>
          <w:tcPr>
            <w:tcW w:w="1535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DERSLER</w:t>
            </w:r>
          </w:p>
        </w:tc>
        <w:tc>
          <w:tcPr>
            <w:tcW w:w="1535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PAZARTESİ</w:t>
            </w:r>
          </w:p>
        </w:tc>
        <w:tc>
          <w:tcPr>
            <w:tcW w:w="1535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SALI </w:t>
            </w:r>
          </w:p>
        </w:tc>
        <w:tc>
          <w:tcPr>
            <w:tcW w:w="1535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ÇARŞAMBA</w:t>
            </w:r>
          </w:p>
        </w:tc>
        <w:tc>
          <w:tcPr>
            <w:tcW w:w="1536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PERŞEMBE</w:t>
            </w:r>
          </w:p>
        </w:tc>
        <w:tc>
          <w:tcPr>
            <w:tcW w:w="1536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CUMA</w:t>
            </w:r>
          </w:p>
        </w:tc>
      </w:tr>
      <w:tr w:rsidR="00C44661" w:rsidRPr="006B2418" w:rsidTr="00C649DD">
        <w:tc>
          <w:tcPr>
            <w:tcW w:w="1535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1.DERS</w:t>
            </w: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: TÜRKÇE</w:t>
            </w: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T.4.4.6. Görselleri ilişkilendirerek bir olayı anlatır.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T.4.3.31. Metinler arasında karşılaştırma yapar.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T.4.3.22. Şekil, sembol ve işaretlerin anlamlarını kavrar.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1535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T.4.1.11. Dinlediklerinin/izlediklerinin içeriğini değerlendirir</w:t>
            </w:r>
          </w:p>
        </w:tc>
        <w:tc>
          <w:tcPr>
            <w:tcW w:w="1536" w:type="dxa"/>
          </w:tcPr>
          <w:p w:rsidR="00602096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T.4.3.22. Şekil, sembol ve işaretlerin anlamlarını kavrar.</w:t>
            </w:r>
          </w:p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T.4.3.25. Yönergeleri kavrar.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602096" w:rsidRPr="006B2418" w:rsidRDefault="00791057" w:rsidP="00791057">
            <w:pPr>
              <w:pStyle w:val="AralkYok"/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T.4.3.18. Okuduğu metinle ilgili soruları cevaplar.</w:t>
            </w:r>
          </w:p>
          <w:p w:rsidR="00C44661" w:rsidRPr="006B2418" w:rsidRDefault="00791057" w:rsidP="00791057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 xml:space="preserve">T.4.3.19. Metinle ilgili sorular sorar 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</w:tc>
      </w:tr>
      <w:tr w:rsidR="00C44661" w:rsidRPr="006B2418" w:rsidTr="00C649DD">
        <w:tc>
          <w:tcPr>
            <w:tcW w:w="1535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2.DERS:</w:t>
            </w:r>
          </w:p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1535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M.4.2.2.1. 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Ayna simetrisini, geometrik şekiller ve modeller üzerinde açıklayarak simetri doğrusunu çizer. 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M.4.2.2.2.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Verilen şeklin doğruya göre simetriğini çizer.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M.4.3.1.1.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Standart uzunluk ölçme birimlerinden milimetrenin kullanım alanlarını belirtir. 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M.4.3.1.2.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Uzunluk ölçme birimleri arasındaki ilişkileri açıklar ve birbiri cinsinden yazar.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M.4.3.1.3.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Doğrudan ölçebileceği bir uzunluğu en uygun uzunluk ölçme birimiyle tahmin eder ve tahminini ölçme yaparak kontrol eder.</w:t>
            </w:r>
          </w:p>
          <w:p w:rsidR="00906B62" w:rsidRPr="006B2418" w:rsidRDefault="00906B62" w:rsidP="00906B62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M.4.3.1.4.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Uzunluk ölçme birimlerinin kullanıldığı en çok üç işlem gerektiren problemleri çözer.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M.4.3.2.1.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Kare ve dikdörtgenin çevre uzunlukları ile kenar uzunlukları arasındaki ilişkiyi açıklar.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M.4.3.2.2.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Aynı çevre uzunluğuna sahip farklı geometrik şekiller oluşturur.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M.4.3.2.3.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Şekillerin çevre uzunluklarını hesaplamayla ilgili problemleri çözer.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M.4.3.3.2.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Kare ve dikdörtgenin alanını toplama ve çarpma işlemleri ile ilişkilendirir.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C44661" w:rsidRPr="006B2418" w:rsidTr="00C649DD">
        <w:tc>
          <w:tcPr>
            <w:tcW w:w="1535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3.DERS: </w:t>
            </w: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FEN BİLİMLERİ</w:t>
            </w:r>
          </w:p>
        </w:tc>
        <w:tc>
          <w:tcPr>
            <w:tcW w:w="1535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F.4.5.5.2. Ses kirliliğinin insan sağlığı ve çevre üzerindeki olumsuz etkilerini açıklar.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F.4.5.5.3. Ses kirliliğini azaltmaya yönelik çözümler üretir.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F.4.6.1.1. Kaynakların kullanımında tasarruflu davranmaya özen gösterir.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F.4.6.1.2. Yaşam için gerekli olan kaynakların ve geri dönüşümün önemini fark eder.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C44661" w:rsidRPr="006B2418" w:rsidRDefault="00791057" w:rsidP="00791057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F.4.7.1.1. Basit elektrik devresini oluşturan devre elemanlarını işlevleri ile tanır.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</w:tc>
        <w:tc>
          <w:tcPr>
            <w:tcW w:w="1536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F.4.7.1.1. Basit elektrik devresini oluşturan devre elemanlarını işlevleri ile tanır.</w:t>
            </w:r>
          </w:p>
        </w:tc>
      </w:tr>
      <w:tr w:rsidR="00791057" w:rsidRPr="006B2418" w:rsidTr="00C649DD">
        <w:tc>
          <w:tcPr>
            <w:tcW w:w="1535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4.DERS:</w:t>
            </w:r>
          </w:p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SOSYAL BİLGİLER</w:t>
            </w:r>
          </w:p>
          <w:p w:rsidR="00D31187" w:rsidRPr="006B2418" w:rsidRDefault="00D31187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(Hayat Bilgisi)</w:t>
            </w:r>
          </w:p>
        </w:tc>
        <w:tc>
          <w:tcPr>
            <w:tcW w:w="1535" w:type="dxa"/>
          </w:tcPr>
          <w:p w:rsidR="00C44661" w:rsidRPr="006B2418" w:rsidRDefault="00C42C82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HB.3.6.1. İnsan yaşamı açısından bitki ve hayvanların önemini kavrar.</w:t>
            </w:r>
          </w:p>
        </w:tc>
        <w:tc>
          <w:tcPr>
            <w:tcW w:w="1535" w:type="dxa"/>
          </w:tcPr>
          <w:p w:rsidR="00C44661" w:rsidRPr="006B2418" w:rsidRDefault="00C42C82" w:rsidP="00C42C8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HB.3.6.2. Meyve ve sebzelerin yetişme koşullarını araştırır.</w:t>
            </w:r>
          </w:p>
        </w:tc>
        <w:tc>
          <w:tcPr>
            <w:tcW w:w="1535" w:type="dxa"/>
          </w:tcPr>
          <w:p w:rsidR="00C44661" w:rsidRPr="006B2418" w:rsidRDefault="00C42C82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HB.3.6.2. Meyve ve sebzelerin yetişme koşullarını araştırır.</w:t>
            </w:r>
          </w:p>
        </w:tc>
        <w:tc>
          <w:tcPr>
            <w:tcW w:w="1536" w:type="dxa"/>
          </w:tcPr>
          <w:p w:rsidR="00C44661" w:rsidRPr="006B2418" w:rsidRDefault="00C42C82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HB.3.6.3. Doğadan yararlanarak yönleri bulur.</w:t>
            </w:r>
          </w:p>
        </w:tc>
        <w:tc>
          <w:tcPr>
            <w:tcW w:w="1536" w:type="dxa"/>
          </w:tcPr>
          <w:p w:rsidR="00C44661" w:rsidRPr="006B2418" w:rsidRDefault="002530AF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HB.3.6.3. Doğadan yararlanarak yönleri bulur.</w:t>
            </w:r>
          </w:p>
        </w:tc>
      </w:tr>
      <w:tr w:rsidR="00C44661" w:rsidRPr="006B2418" w:rsidTr="00E5264C">
        <w:tc>
          <w:tcPr>
            <w:tcW w:w="9212" w:type="dxa"/>
            <w:gridSpan w:val="6"/>
          </w:tcPr>
          <w:p w:rsidR="00C649DD" w:rsidRPr="006B2418" w:rsidRDefault="00C649DD" w:rsidP="00C649DD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 xml:space="preserve">Sadece mihver dersler işlenecek olup Trafik Güvenliği, İnsan Hakları, Yurttaşlık ve Demokrasi, Beden Eğitimi ve Oyun, Görsel Sanatlar, Müzik derslerin kazanımları mihver derslerle ilişkiler kurularak yer verilecektir. </w:t>
            </w:r>
          </w:p>
          <w:p w:rsidR="00C44661" w:rsidRPr="006B2418" w:rsidRDefault="00C649DD" w:rsidP="00C649DD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>Ders araları da evde spor ile geçirilecektir.</w:t>
            </w:r>
          </w:p>
        </w:tc>
      </w:tr>
    </w:tbl>
    <w:p w:rsidR="00C44661" w:rsidRDefault="00C44661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791057" w:rsidRDefault="00791057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791057" w:rsidRDefault="00791057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791057" w:rsidRDefault="00791057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847DAC" w:rsidRDefault="00847DAC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C649DD" w:rsidRDefault="00C649DD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2530AF" w:rsidRDefault="002530AF" w:rsidP="00811D20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6"/>
        <w:gridCol w:w="1590"/>
        <w:gridCol w:w="1535"/>
        <w:gridCol w:w="1603"/>
        <w:gridCol w:w="1537"/>
        <w:gridCol w:w="2083"/>
      </w:tblGrid>
      <w:tr w:rsidR="00C44661" w:rsidRPr="00602096" w:rsidTr="002530AF">
        <w:tc>
          <w:tcPr>
            <w:tcW w:w="10124" w:type="dxa"/>
            <w:gridSpan w:val="6"/>
            <w:shd w:val="clear" w:color="auto" w:fill="FFFF00"/>
          </w:tcPr>
          <w:p w:rsidR="00C44661" w:rsidRPr="00602096" w:rsidRDefault="00C44661" w:rsidP="00C44661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3. HAFTA (14 EYLÜL - 18 EYLÜL)</w:t>
            </w:r>
          </w:p>
        </w:tc>
      </w:tr>
      <w:tr w:rsidR="00C44661" w:rsidTr="002530AF">
        <w:tc>
          <w:tcPr>
            <w:tcW w:w="1776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DERSLER</w:t>
            </w:r>
          </w:p>
        </w:tc>
        <w:tc>
          <w:tcPr>
            <w:tcW w:w="1590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PAZARTESİ</w:t>
            </w:r>
          </w:p>
        </w:tc>
        <w:tc>
          <w:tcPr>
            <w:tcW w:w="1535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SALI </w:t>
            </w:r>
          </w:p>
        </w:tc>
        <w:tc>
          <w:tcPr>
            <w:tcW w:w="1603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ÇARŞAMBA</w:t>
            </w:r>
          </w:p>
        </w:tc>
        <w:tc>
          <w:tcPr>
            <w:tcW w:w="1537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PERŞEMBE</w:t>
            </w:r>
          </w:p>
        </w:tc>
        <w:tc>
          <w:tcPr>
            <w:tcW w:w="2083" w:type="dxa"/>
            <w:shd w:val="clear" w:color="auto" w:fill="FFFF00"/>
          </w:tcPr>
          <w:p w:rsidR="00C44661" w:rsidRPr="00602096" w:rsidRDefault="00C44661" w:rsidP="00E5264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096">
              <w:rPr>
                <w:rFonts w:ascii="Times New Roman" w:hAnsi="Times New Roman" w:cs="Times New Roman"/>
                <w:b/>
                <w:sz w:val="24"/>
                <w:szCs w:val="24"/>
              </w:rPr>
              <w:t>CUMA</w:t>
            </w:r>
          </w:p>
        </w:tc>
      </w:tr>
      <w:tr w:rsidR="0019031D" w:rsidRPr="006B2418" w:rsidTr="002530AF">
        <w:tc>
          <w:tcPr>
            <w:tcW w:w="1776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1.DERS</w:t>
            </w: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: TÜRKÇE</w:t>
            </w:r>
          </w:p>
        </w:tc>
        <w:tc>
          <w:tcPr>
            <w:tcW w:w="1590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T.4.4.10. Büyük harfleri ve noktalama işaretlerini uygun yerlerde kullanır.</w:t>
            </w:r>
          </w:p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T.4.4.18. Yazılarında bağlaçları kuralına uygun kullanır.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T.4.3.16. Okuduğu metnin konusunu belirler.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T.4.3.17. Metnin ana fikri/ana duygusunu belirler.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T.4.3.18. Okuduğu metinle ilgili soruları cevaplar.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T.4.3.19. Metinle ilgili sorular sorar</w:t>
            </w:r>
          </w:p>
        </w:tc>
        <w:tc>
          <w:tcPr>
            <w:tcW w:w="1537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T.4.3.35. Bilgi kaynaklarını etkili bir şekilde kullanır.</w:t>
            </w: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br/>
              <w:t>T.4.3.36. Bilgi kaynaklarının güvenilirliğini sorgular.</w:t>
            </w:r>
          </w:p>
        </w:tc>
        <w:tc>
          <w:tcPr>
            <w:tcW w:w="2083" w:type="dxa"/>
          </w:tcPr>
          <w:p w:rsidR="00C44661" w:rsidRPr="006B2418" w:rsidRDefault="00791057" w:rsidP="00791057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>Genel değerlendirme etkinlikleri yapar.</w:t>
            </w:r>
          </w:p>
        </w:tc>
      </w:tr>
      <w:tr w:rsidR="0019031D" w:rsidRPr="006B2418" w:rsidTr="002530AF">
        <w:tc>
          <w:tcPr>
            <w:tcW w:w="1776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2.DERS:</w:t>
            </w:r>
          </w:p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MATEMATİK</w:t>
            </w:r>
          </w:p>
        </w:tc>
        <w:tc>
          <w:tcPr>
            <w:tcW w:w="1590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M.4.3.5.1.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Yarım ve çeyrek kilogramı gram cinsinden ifade eder. 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M.4.3.5.2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. Kilogram ve gramı kütle ölçerken birlikte kullanır. 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M.4.3.5.3.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Ton ve miligramın kullanıldığı yerleri belirler.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M.4.3.5.4.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Ton-kilogram, kilogram-gram, gram-miligram arasındaki ilişkiyi açıklar ve birbirine dönüştürür.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M.4.3.5.5.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Ton, kilogram, gram ve miligram ile ilgili problemleri çözer.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M.4.3.6.1.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Mililitrenin kullanıldığı yerleri açıklar.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M.4.3.6.2.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Litre ve mililitre arasındaki ilişkiyi açıklar ve birbirine dönüştürür.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M.4.3.6.3.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Litre ve mililitreyi miktar belirtmek için bir arada kullanır.</w:t>
            </w:r>
          </w:p>
          <w:p w:rsidR="00C44661" w:rsidRPr="006B2418" w:rsidRDefault="00C44661" w:rsidP="00906B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M.4.3.6.4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. Bir kaptaki sıvının miktarını, litre ve mililitre birimleriyle tahmin eder ve ölçme yaparak tahminini kontrol eder. </w:t>
            </w:r>
          </w:p>
          <w:p w:rsidR="00906B62" w:rsidRPr="006B2418" w:rsidRDefault="00906B62" w:rsidP="00906B62">
            <w:pPr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M.4.3.6.5.</w:t>
            </w:r>
            <w:r w:rsidRPr="006B2418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Litre ve mililitre ile ilgili problemleri çözer.</w:t>
            </w:r>
          </w:p>
          <w:p w:rsidR="00C44661" w:rsidRPr="006B2418" w:rsidRDefault="00C44661" w:rsidP="00906B62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19031D" w:rsidRPr="006B2418" w:rsidTr="002530AF">
        <w:tc>
          <w:tcPr>
            <w:tcW w:w="1776" w:type="dxa"/>
            <w:shd w:val="clear" w:color="auto" w:fill="FFFF00"/>
            <w:vAlign w:val="center"/>
          </w:tcPr>
          <w:p w:rsidR="00C44661" w:rsidRPr="006B2418" w:rsidRDefault="00C44661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3.DERS: </w:t>
            </w: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FEN BİLİMLERİ</w:t>
            </w:r>
          </w:p>
        </w:tc>
        <w:tc>
          <w:tcPr>
            <w:tcW w:w="1590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F.4.7.1.2. Çalışan bir elektrik devresi kurar.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F.4.7.1.2. Çalışan bir elektrik devresi kurar.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603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F.4.7.1.3. Evde ve okuldaki elektrik düğmelerinin ve kabloların birer devre elemanı olduğunu bilir.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537" w:type="dxa"/>
          </w:tcPr>
          <w:p w:rsidR="00791057" w:rsidRPr="006B2418" w:rsidRDefault="00791057" w:rsidP="00791057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6B2418">
              <w:rPr>
                <w:rFonts w:asciiTheme="majorHAnsi" w:hAnsiTheme="majorHAnsi"/>
                <w:color w:val="000000"/>
                <w:sz w:val="20"/>
                <w:szCs w:val="20"/>
              </w:rPr>
              <w:t>F.4.7.1.3. Evde ve okuldaki elektrik düğmelerinin ve kabloların birer devre elemanı olduğunu bilir.</w:t>
            </w:r>
          </w:p>
          <w:p w:rsidR="00C44661" w:rsidRPr="006B2418" w:rsidRDefault="00C44661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C44661" w:rsidRPr="006B2418" w:rsidRDefault="00791057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 xml:space="preserve">Genel tekrar çalışmaları yapar. </w:t>
            </w:r>
          </w:p>
        </w:tc>
      </w:tr>
      <w:tr w:rsidR="002530AF" w:rsidRPr="006B2418" w:rsidTr="002530AF">
        <w:tc>
          <w:tcPr>
            <w:tcW w:w="1776" w:type="dxa"/>
            <w:shd w:val="clear" w:color="auto" w:fill="FFFF00"/>
            <w:vAlign w:val="center"/>
          </w:tcPr>
          <w:p w:rsidR="002530AF" w:rsidRPr="006B2418" w:rsidRDefault="002530AF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4.DERS:</w:t>
            </w:r>
          </w:p>
          <w:p w:rsidR="002530AF" w:rsidRPr="006B2418" w:rsidRDefault="002530AF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SOSYAL BİLGİLER</w:t>
            </w:r>
          </w:p>
          <w:p w:rsidR="002530AF" w:rsidRPr="006B2418" w:rsidRDefault="002530AF" w:rsidP="00C649DD">
            <w:pPr>
              <w:pStyle w:val="AralkYok"/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b/>
                <w:sz w:val="20"/>
                <w:szCs w:val="20"/>
              </w:rPr>
              <w:t>(Hayat Bilgisi)</w:t>
            </w:r>
          </w:p>
        </w:tc>
        <w:tc>
          <w:tcPr>
            <w:tcW w:w="1590" w:type="dxa"/>
          </w:tcPr>
          <w:p w:rsidR="002530AF" w:rsidRPr="006B2418" w:rsidRDefault="002530AF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HB.3.6.4. İnsanların doğal unsurlar üzerindeki etkisine yakın çevresinden örnekler verir.</w:t>
            </w:r>
          </w:p>
        </w:tc>
        <w:tc>
          <w:tcPr>
            <w:tcW w:w="1535" w:type="dxa"/>
          </w:tcPr>
          <w:p w:rsidR="002530AF" w:rsidRPr="006B2418" w:rsidRDefault="002530AF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HB.3.6.5. Doğa ve çevreyi koruma konusunda sorumluluk alır.</w:t>
            </w:r>
          </w:p>
          <w:p w:rsidR="002530AF" w:rsidRPr="006B2418" w:rsidRDefault="002530AF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</w:tcPr>
          <w:p w:rsidR="002530AF" w:rsidRPr="006B2418" w:rsidRDefault="002530AF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HB.3.6.5. Doğa ve çevreyi koruma konusunda sorumluluk alır.</w:t>
            </w:r>
          </w:p>
          <w:p w:rsidR="002530AF" w:rsidRPr="006B2418" w:rsidRDefault="002530AF" w:rsidP="003D0D19">
            <w:pPr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2530AF" w:rsidRPr="006B2418" w:rsidRDefault="002530AF" w:rsidP="003D0D19">
            <w:pPr>
              <w:rPr>
                <w:rFonts w:asciiTheme="majorHAnsi" w:eastAsia="Kayra Aydin" w:hAnsiTheme="majorHAnsi" w:cs="Kayra Aydi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HB.3.6.6. Geri dönüşümün kendisine ve yaşadığı çevreye olan katkısına örnekler verir</w:t>
            </w:r>
          </w:p>
        </w:tc>
        <w:tc>
          <w:tcPr>
            <w:tcW w:w="2083" w:type="dxa"/>
          </w:tcPr>
          <w:p w:rsidR="002530AF" w:rsidRPr="006B2418" w:rsidRDefault="002530AF" w:rsidP="00E5264C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eastAsia="Kayra Aydin" w:hAnsiTheme="majorHAnsi" w:cs="Kayra Aydin"/>
                <w:color w:val="000000"/>
                <w:sz w:val="20"/>
                <w:szCs w:val="20"/>
              </w:rPr>
              <w:t>HB.3.6.6. Geri dönüşümün kendisine ve yaşadığı çevreye olan katkısına örnekler verir</w:t>
            </w:r>
          </w:p>
        </w:tc>
      </w:tr>
      <w:tr w:rsidR="002530AF" w:rsidRPr="006B2418" w:rsidTr="002530AF">
        <w:tc>
          <w:tcPr>
            <w:tcW w:w="10124" w:type="dxa"/>
            <w:gridSpan w:val="6"/>
          </w:tcPr>
          <w:p w:rsidR="002530AF" w:rsidRPr="006B2418" w:rsidRDefault="002530AF" w:rsidP="00C649DD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 xml:space="preserve">Sadece mihver dersler işlenecek olup Trafik Güvenliği, İnsan Hakları, Yurttaşlık ve Demokrasi, Beden Eğitimi ve Oyun, Görsel Sanatlar, Müzik derslerin kazanımları mihver derslerle ilişkiler kurularak yer verilecektir. </w:t>
            </w:r>
          </w:p>
          <w:p w:rsidR="002530AF" w:rsidRPr="006B2418" w:rsidRDefault="002530AF" w:rsidP="00C649DD">
            <w:pPr>
              <w:pStyle w:val="AralkYok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6B2418">
              <w:rPr>
                <w:rFonts w:asciiTheme="majorHAnsi" w:hAnsiTheme="majorHAnsi" w:cs="Times New Roman"/>
                <w:sz w:val="20"/>
                <w:szCs w:val="20"/>
              </w:rPr>
              <w:t>Ders araları da evde spor ile geçirilecektir.</w:t>
            </w:r>
          </w:p>
        </w:tc>
      </w:tr>
    </w:tbl>
    <w:p w:rsidR="00C44661" w:rsidRPr="006B2418" w:rsidRDefault="00C44661" w:rsidP="00811D20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</w:p>
    <w:p w:rsidR="00602096" w:rsidRPr="006B2418" w:rsidRDefault="0019031D" w:rsidP="00811D20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>Telafi eğitimi süresince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 Bakanlığımız</w:t>
      </w:r>
      <w:r w:rsidR="00D31187" w:rsidRPr="006B2418">
        <w:rPr>
          <w:rFonts w:asciiTheme="majorHAnsi" w:hAnsiTheme="majorHAnsi" w:cs="Times New Roman"/>
          <w:sz w:val="20"/>
          <w:szCs w:val="20"/>
        </w:rPr>
        <w:t xml:space="preserve">ın yapacağı </w:t>
      </w:r>
      <w:proofErr w:type="gramStart"/>
      <w:r w:rsidR="00D31187" w:rsidRPr="006B2418">
        <w:rPr>
          <w:rFonts w:asciiTheme="majorHAnsi" w:hAnsiTheme="majorHAnsi" w:cs="Times New Roman"/>
          <w:sz w:val="20"/>
          <w:szCs w:val="20"/>
        </w:rPr>
        <w:t xml:space="preserve">duyurular 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 ya</w:t>
      </w:r>
      <w:proofErr w:type="gramEnd"/>
      <w:r w:rsidR="00C649DD" w:rsidRPr="006B2418">
        <w:rPr>
          <w:rFonts w:asciiTheme="majorHAnsi" w:hAnsiTheme="majorHAnsi" w:cs="Times New Roman"/>
          <w:sz w:val="20"/>
          <w:szCs w:val="20"/>
        </w:rPr>
        <w:t xml:space="preserve"> da </w:t>
      </w:r>
      <w:r w:rsidR="00571DCC">
        <w:rPr>
          <w:rFonts w:asciiTheme="majorHAnsi" w:hAnsiTheme="majorHAnsi" w:cs="Times New Roman"/>
          <w:sz w:val="20"/>
          <w:szCs w:val="20"/>
        </w:rPr>
        <w:t>o</w:t>
      </w:r>
      <w:r w:rsidR="00C649DD" w:rsidRPr="006B2418">
        <w:rPr>
          <w:rFonts w:asciiTheme="majorHAnsi" w:hAnsiTheme="majorHAnsi" w:cs="Times New Roman"/>
          <w:sz w:val="20"/>
          <w:szCs w:val="20"/>
        </w:rPr>
        <w:t>kul idaremiz tarafından</w:t>
      </w:r>
      <w:r w:rsidRPr="006B2418">
        <w:rPr>
          <w:rFonts w:asciiTheme="majorHAnsi" w:hAnsiTheme="majorHAnsi" w:cs="Times New Roman"/>
          <w:sz w:val="20"/>
          <w:szCs w:val="20"/>
        </w:rPr>
        <w:t xml:space="preserve"> </w:t>
      </w:r>
      <w:r w:rsidR="00C649DD" w:rsidRPr="006B2418">
        <w:rPr>
          <w:rFonts w:asciiTheme="majorHAnsi" w:hAnsiTheme="majorHAnsi" w:cs="Times New Roman"/>
          <w:sz w:val="20"/>
          <w:szCs w:val="20"/>
        </w:rPr>
        <w:t>tarafımıza atanacak EBA Canlı Ders</w:t>
      </w:r>
      <w:r w:rsidR="00D31187" w:rsidRPr="006B2418">
        <w:rPr>
          <w:rFonts w:asciiTheme="majorHAnsi" w:hAnsiTheme="majorHAnsi" w:cs="Times New Roman"/>
          <w:sz w:val="20"/>
          <w:szCs w:val="20"/>
        </w:rPr>
        <w:t>lerin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 saatleri, süreleri ve </w:t>
      </w:r>
      <w:r w:rsidRPr="006B2418">
        <w:rPr>
          <w:rFonts w:asciiTheme="majorHAnsi" w:hAnsiTheme="majorHAnsi" w:cs="Times New Roman"/>
          <w:sz w:val="20"/>
          <w:szCs w:val="20"/>
        </w:rPr>
        <w:t xml:space="preserve">öğrenci 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bilgi, beceri </w:t>
      </w:r>
      <w:r w:rsidRPr="006B2418">
        <w:rPr>
          <w:rFonts w:asciiTheme="majorHAnsi" w:hAnsiTheme="majorHAnsi" w:cs="Times New Roman"/>
          <w:sz w:val="20"/>
          <w:szCs w:val="20"/>
        </w:rPr>
        <w:t>düzeyi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 ve</w:t>
      </w:r>
      <w:r w:rsidRPr="006B2418">
        <w:rPr>
          <w:rFonts w:asciiTheme="majorHAnsi" w:hAnsiTheme="majorHAnsi" w:cs="Times New Roman"/>
          <w:sz w:val="20"/>
          <w:szCs w:val="20"/>
        </w:rPr>
        <w:t xml:space="preserve"> gereksinimlerine göre 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planda </w:t>
      </w:r>
      <w:r w:rsidRPr="006B2418">
        <w:rPr>
          <w:rFonts w:asciiTheme="majorHAnsi" w:hAnsiTheme="majorHAnsi" w:cs="Times New Roman"/>
          <w:sz w:val="20"/>
          <w:szCs w:val="20"/>
        </w:rPr>
        <w:t xml:space="preserve">geçişler </w:t>
      </w:r>
      <w:r w:rsidR="00C649DD" w:rsidRPr="006B2418">
        <w:rPr>
          <w:rFonts w:asciiTheme="majorHAnsi" w:hAnsiTheme="majorHAnsi" w:cs="Times New Roman"/>
          <w:sz w:val="20"/>
          <w:szCs w:val="20"/>
        </w:rPr>
        <w:t xml:space="preserve"> esnemeler ve değişiklikler </w:t>
      </w:r>
      <w:r w:rsidRPr="006B2418">
        <w:rPr>
          <w:rFonts w:asciiTheme="majorHAnsi" w:hAnsiTheme="majorHAnsi" w:cs="Times New Roman"/>
          <w:sz w:val="20"/>
          <w:szCs w:val="20"/>
        </w:rPr>
        <w:t xml:space="preserve">yapılabilecektir. </w:t>
      </w:r>
    </w:p>
    <w:p w:rsidR="0019031D" w:rsidRPr="006B2418" w:rsidRDefault="0019031D" w:rsidP="0019031D">
      <w:pPr>
        <w:pStyle w:val="AralkYok"/>
        <w:rPr>
          <w:rFonts w:asciiTheme="majorHAnsi" w:hAnsiTheme="majorHAnsi" w:cs="Times New Roman"/>
          <w:sz w:val="20"/>
          <w:szCs w:val="20"/>
        </w:rPr>
      </w:pPr>
    </w:p>
    <w:p w:rsidR="0019031D" w:rsidRPr="006B2418" w:rsidRDefault="00D31187" w:rsidP="00D31187">
      <w:pPr>
        <w:pStyle w:val="AralkYok"/>
        <w:tabs>
          <w:tab w:val="left" w:pos="8698"/>
          <w:tab w:val="center" w:pos="9351"/>
        </w:tabs>
        <w:ind w:left="7788" w:firstLine="708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ab/>
        <w:t xml:space="preserve">  </w:t>
      </w:r>
      <w:r w:rsidR="00C649DD" w:rsidRPr="006B2418">
        <w:rPr>
          <w:rFonts w:asciiTheme="majorHAnsi" w:hAnsiTheme="majorHAnsi" w:cs="Times New Roman"/>
          <w:sz w:val="20"/>
          <w:szCs w:val="20"/>
        </w:rPr>
        <w:t>Fatih ALP</w:t>
      </w:r>
    </w:p>
    <w:p w:rsidR="0019031D" w:rsidRPr="006B2418" w:rsidRDefault="00C649DD" w:rsidP="0019031D">
      <w:pPr>
        <w:pStyle w:val="AralkYok"/>
        <w:jc w:val="right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>4. Sınıflar Zümre Başkanı</w:t>
      </w:r>
      <w:r w:rsidR="0019031D" w:rsidRPr="006B2418">
        <w:rPr>
          <w:rFonts w:asciiTheme="majorHAnsi" w:hAnsiTheme="majorHAnsi" w:cs="Times New Roman"/>
          <w:sz w:val="20"/>
          <w:szCs w:val="20"/>
        </w:rPr>
        <w:t xml:space="preserve"> </w:t>
      </w:r>
    </w:p>
    <w:p w:rsidR="00C649DD" w:rsidRPr="006B2418" w:rsidRDefault="00C649DD" w:rsidP="0019031D">
      <w:pPr>
        <w:pStyle w:val="AralkYok"/>
        <w:jc w:val="right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ab/>
      </w:r>
    </w:p>
    <w:p w:rsidR="0019031D" w:rsidRPr="006B2418" w:rsidRDefault="0019031D" w:rsidP="0019031D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>Uygundur</w:t>
      </w:r>
    </w:p>
    <w:p w:rsidR="00C649DD" w:rsidRPr="006B2418" w:rsidRDefault="00C649DD" w:rsidP="0019031D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>26.08.2020</w:t>
      </w:r>
    </w:p>
    <w:p w:rsidR="00C649DD" w:rsidRPr="006B2418" w:rsidRDefault="00C649DD" w:rsidP="0019031D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</w:p>
    <w:p w:rsidR="0019031D" w:rsidRPr="006B2418" w:rsidRDefault="00C649DD" w:rsidP="0019031D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  <w:bookmarkStart w:id="0" w:name="_GoBack"/>
      <w:bookmarkEnd w:id="0"/>
      <w:r w:rsidRPr="006B2418">
        <w:rPr>
          <w:rFonts w:asciiTheme="majorHAnsi" w:hAnsiTheme="majorHAnsi" w:cs="Times New Roman"/>
          <w:sz w:val="20"/>
          <w:szCs w:val="20"/>
        </w:rPr>
        <w:t>Hüseyin GÜL</w:t>
      </w:r>
    </w:p>
    <w:p w:rsidR="0019031D" w:rsidRPr="006B2418" w:rsidRDefault="0019031D" w:rsidP="0019031D">
      <w:pPr>
        <w:pStyle w:val="AralkYok"/>
        <w:jc w:val="center"/>
        <w:rPr>
          <w:rFonts w:asciiTheme="majorHAnsi" w:hAnsiTheme="majorHAnsi" w:cs="Times New Roman"/>
          <w:sz w:val="20"/>
          <w:szCs w:val="20"/>
        </w:rPr>
      </w:pPr>
      <w:r w:rsidRPr="006B2418">
        <w:rPr>
          <w:rFonts w:asciiTheme="majorHAnsi" w:hAnsiTheme="majorHAnsi" w:cs="Times New Roman"/>
          <w:sz w:val="20"/>
          <w:szCs w:val="20"/>
        </w:rPr>
        <w:t>Okul Müdürü</w:t>
      </w:r>
    </w:p>
    <w:sectPr w:rsidR="0019031D" w:rsidRPr="006B2418" w:rsidSect="00C649DD">
      <w:pgSz w:w="11906" w:h="16838"/>
      <w:pgMar w:top="568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FB" w:rsidRDefault="003929FB" w:rsidP="00A82D19">
      <w:pPr>
        <w:spacing w:after="0" w:line="240" w:lineRule="auto"/>
      </w:pPr>
      <w:r>
        <w:separator/>
      </w:r>
    </w:p>
  </w:endnote>
  <w:endnote w:type="continuationSeparator" w:id="0">
    <w:p w:rsidR="003929FB" w:rsidRDefault="003929FB" w:rsidP="00A8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Times New Roman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FB" w:rsidRDefault="003929FB" w:rsidP="00A82D19">
      <w:pPr>
        <w:spacing w:after="0" w:line="240" w:lineRule="auto"/>
      </w:pPr>
      <w:r>
        <w:separator/>
      </w:r>
    </w:p>
  </w:footnote>
  <w:footnote w:type="continuationSeparator" w:id="0">
    <w:p w:rsidR="003929FB" w:rsidRDefault="003929FB" w:rsidP="00A82D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BE4"/>
    <w:rsid w:val="000958AF"/>
    <w:rsid w:val="001174D4"/>
    <w:rsid w:val="0019031D"/>
    <w:rsid w:val="002530AF"/>
    <w:rsid w:val="00285216"/>
    <w:rsid w:val="002F3BE4"/>
    <w:rsid w:val="003929FB"/>
    <w:rsid w:val="00483F91"/>
    <w:rsid w:val="00492F1C"/>
    <w:rsid w:val="005421CC"/>
    <w:rsid w:val="00571DCC"/>
    <w:rsid w:val="00602096"/>
    <w:rsid w:val="00692C0B"/>
    <w:rsid w:val="006B2418"/>
    <w:rsid w:val="00791057"/>
    <w:rsid w:val="00811D20"/>
    <w:rsid w:val="00847DAC"/>
    <w:rsid w:val="00871863"/>
    <w:rsid w:val="00906B62"/>
    <w:rsid w:val="009B09EC"/>
    <w:rsid w:val="00A82D19"/>
    <w:rsid w:val="00B03492"/>
    <w:rsid w:val="00B3121E"/>
    <w:rsid w:val="00B87887"/>
    <w:rsid w:val="00C42C82"/>
    <w:rsid w:val="00C44661"/>
    <w:rsid w:val="00C649DD"/>
    <w:rsid w:val="00D1610C"/>
    <w:rsid w:val="00D3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1D20"/>
    <w:pPr>
      <w:spacing w:after="0" w:line="240" w:lineRule="auto"/>
    </w:pPr>
  </w:style>
  <w:style w:type="table" w:styleId="TabloKlavuzu">
    <w:name w:val="Table Grid"/>
    <w:basedOn w:val="NormalTablo"/>
    <w:uiPriority w:val="59"/>
    <w:rsid w:val="0081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2D19"/>
  </w:style>
  <w:style w:type="paragraph" w:styleId="Altbilgi">
    <w:name w:val="footer"/>
    <w:basedOn w:val="Normal"/>
    <w:link w:val="Al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2D19"/>
  </w:style>
  <w:style w:type="character" w:styleId="Kpr">
    <w:name w:val="Hyperlink"/>
    <w:basedOn w:val="VarsaylanParagrafYazTipi"/>
    <w:uiPriority w:val="99"/>
    <w:unhideWhenUsed/>
    <w:rsid w:val="00A82D19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92F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1D20"/>
    <w:pPr>
      <w:spacing w:after="0" w:line="240" w:lineRule="auto"/>
    </w:pPr>
  </w:style>
  <w:style w:type="table" w:styleId="TabloKlavuzu">
    <w:name w:val="Table Grid"/>
    <w:basedOn w:val="NormalTablo"/>
    <w:uiPriority w:val="59"/>
    <w:rsid w:val="0081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2D19"/>
  </w:style>
  <w:style w:type="paragraph" w:styleId="Altbilgi">
    <w:name w:val="footer"/>
    <w:basedOn w:val="Normal"/>
    <w:link w:val="AltbilgiChar"/>
    <w:uiPriority w:val="99"/>
    <w:unhideWhenUsed/>
    <w:rsid w:val="00A8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2D19"/>
  </w:style>
  <w:style w:type="character" w:styleId="Kpr">
    <w:name w:val="Hyperlink"/>
    <w:basedOn w:val="VarsaylanParagrafYazTipi"/>
    <w:uiPriority w:val="99"/>
    <w:unhideWhenUsed/>
    <w:rsid w:val="00A82D19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492F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83DD-AEA3-4C34-AA56-394A1358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9</cp:revision>
  <dcterms:created xsi:type="dcterms:W3CDTF">2020-09-17T20:33:00Z</dcterms:created>
  <dcterms:modified xsi:type="dcterms:W3CDTF">2020-09-18T09:40:00Z</dcterms:modified>
  <cp:category>https://www.sorubak.com</cp:category>
</cp:coreProperties>
</file>